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67742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果仁网帮助文档（最终完善版）</w:t>
      </w:r>
    </w:p>
    <w:p w14:paraId="0FF57A3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文档更新日期：2026 年 6 月 11 日</w:t>
      </w:r>
    </w:p>
    <w:p w14:paraId="222EDB72">
      <w:pPr>
        <w:spacing w:before="320" w:after="120" w:line="288" w:lineRule="auto"/>
        <w:ind w:left="0"/>
        <w:jc w:val="left"/>
        <w:outlineLvl w:val="1"/>
      </w:pPr>
      <w:bookmarkStart w:id="0" w:name="heading_1"/>
      <w:r>
        <w:rPr>
          <w:rFonts w:ascii="Arial" w:hAnsi="Arial" w:eastAsia="等线" w:cs="Arial"/>
          <w:b/>
          <w:sz w:val="32"/>
        </w:rPr>
        <w:t>第一部分：了解量化投资与果仁网</w:t>
      </w:r>
      <w:bookmarkEnd w:id="0"/>
    </w:p>
    <w:p w14:paraId="050024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在正式开始使用平台之前，让我们先花几分钟时间，明确两个核心问题：什么是量化投资？以及果仁网能为您做什么？</w:t>
      </w:r>
    </w:p>
    <w:p w14:paraId="6807D8F1">
      <w:pPr>
        <w:spacing w:before="300" w:after="120" w:line="288" w:lineRule="auto"/>
        <w:ind w:left="0"/>
        <w:jc w:val="left"/>
        <w:outlineLvl w:val="2"/>
      </w:pPr>
      <w:bookmarkStart w:id="1" w:name="heading_2"/>
      <w:r>
        <w:rPr>
          <w:rFonts w:ascii="Arial" w:hAnsi="Arial" w:eastAsia="等线" w:cs="Arial"/>
          <w:b/>
          <w:sz w:val="30"/>
        </w:rPr>
        <w:t>1.1 什么是量化投资？</w:t>
      </w:r>
      <w:bookmarkEnd w:id="1"/>
    </w:p>
    <w:p w14:paraId="55C782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简单来说，量化投资就是把您平时选股、买卖的经验逻辑，提炼成一套由明确数字、条件、规则组成的标准化交易模型 —— 这个模型就称为 "策略"。然后利用计算机的海量数据处理能力，对这个策略进行历史数据验证（俗称 "回测"），最后由系统自动或半自动地执行买卖指令。</w:t>
      </w:r>
    </w:p>
    <w:p w14:paraId="6EA482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与传统的主观选股相比，量化投资的核心优势有三点：</w:t>
      </w:r>
    </w:p>
    <w:p w14:paraId="6DFBFE9A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摆脱情绪干扰</w:t>
      </w:r>
      <w:r>
        <w:rPr>
          <w:rFonts w:ascii="Arial" w:hAnsi="Arial" w:eastAsia="等线" w:cs="Arial"/>
          <w:sz w:val="22"/>
        </w:rPr>
        <w:t>：严格按照预设策略执行，不会因为市场短期波动、投资者的恐慌或贪婪而临时改变投资决策</w:t>
      </w:r>
    </w:p>
    <w:p w14:paraId="3FDA1639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挖掘深层规律</w:t>
      </w:r>
      <w:r>
        <w:rPr>
          <w:rFonts w:ascii="Arial" w:hAnsi="Arial" w:eastAsia="等线" w:cs="Arial"/>
          <w:sz w:val="22"/>
        </w:rPr>
        <w:t>：能高效处理、分析海量的历史行情、财报等数据，捕捉到人工难以察觉的市场规律和投资机会</w:t>
      </w:r>
    </w:p>
    <w:p w14:paraId="522248F4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验证策略可靠性</w:t>
      </w:r>
      <w:r>
        <w:rPr>
          <w:rFonts w:ascii="Arial" w:hAnsi="Arial" w:eastAsia="等线" w:cs="Arial"/>
          <w:sz w:val="22"/>
        </w:rPr>
        <w:t>：在真金白银投入市场前，就能通过历史回测数据，提前判断策略的风险收益特征，做到心中有数</w:t>
      </w:r>
    </w:p>
    <w:p w14:paraId="29372E1C">
      <w:pPr>
        <w:spacing w:before="300" w:after="120" w:line="288" w:lineRule="auto"/>
        <w:ind w:left="0"/>
        <w:jc w:val="left"/>
        <w:outlineLvl w:val="2"/>
      </w:pPr>
      <w:bookmarkStart w:id="2" w:name="heading_3"/>
      <w:r>
        <w:rPr>
          <w:rFonts w:ascii="Arial" w:hAnsi="Arial" w:eastAsia="等线" w:cs="Arial"/>
          <w:b/>
          <w:sz w:val="30"/>
        </w:rPr>
        <w:t>1.2 为什么选择果仁网？</w:t>
      </w:r>
      <w:bookmarkEnd w:id="2"/>
    </w:p>
    <w:p w14:paraId="559C1C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果仁网专注于非编程量化投资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ascii="Arial" w:hAnsi="Arial" w:eastAsia="等线" w:cs="Arial"/>
          <w:sz w:val="22"/>
        </w:rPr>
        <w:t>其核心设计理念，就是消除普通投资者学习量化交易的门槛 —— 用户不需要编写任何代码，只需要通过可视化的鼠标点击、下拉菜单选择、条件公式设置等方式，就能快速搭建出属于自己的量化策略。</w:t>
      </w:r>
    </w:p>
    <w:p w14:paraId="6714DD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平台的核心功能，可以概括为四大模块，覆盖了从策略 idea 到实际交易的完整闭环：</w:t>
      </w:r>
    </w:p>
    <w:p w14:paraId="17B8C021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策略开发</w:t>
      </w:r>
      <w:r>
        <w:rPr>
          <w:rFonts w:ascii="Arial" w:hAnsi="Arial" w:eastAsia="等线" w:cs="Arial"/>
          <w:sz w:val="22"/>
        </w:rPr>
        <w:t>：零代码可视化界面，提供海量官方标准因子库，支持用户组合筛选、排名、自定义指标、择时等多种条件，快速构建个性化交易策略</w:t>
      </w:r>
    </w:p>
    <w:p w14:paraId="1AE9CC92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策略回测</w:t>
      </w:r>
      <w:r>
        <w:rPr>
          <w:rFonts w:ascii="Arial" w:hAnsi="Arial" w:eastAsia="等线" w:cs="Arial"/>
          <w:sz w:val="22"/>
        </w:rPr>
        <w:t>：依托真实、完整的历史交易数据，模拟接近真实市场环境的交易过程，精准计算策略的各项风险收益指标，验证策略的可靠性</w:t>
      </w:r>
    </w:p>
    <w:p w14:paraId="3F939956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策略分享</w:t>
      </w:r>
      <w:r>
        <w:rPr>
          <w:rFonts w:ascii="Arial" w:hAnsi="Arial" w:eastAsia="等线" w:cs="Arial"/>
          <w:sz w:val="22"/>
        </w:rPr>
        <w:t>：优质策略社区，用户可以分享、收藏、复制优秀策略，学习其他投资者的投资逻辑和策略设计思路</w:t>
      </w:r>
    </w:p>
    <w:p w14:paraId="1AB11D4F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实盘交易</w:t>
      </w:r>
      <w:r>
        <w:rPr>
          <w:rFonts w:ascii="Arial" w:hAnsi="Arial" w:eastAsia="等线" w:cs="Arial"/>
          <w:sz w:val="22"/>
        </w:rPr>
        <w:t>：与第一创业证券、国投证券（原安信证券）等头部券商官方合作，提供合规、安全的策略实盘接入通道，支持全自动、半自动两种交易模式，让您的策略成果高效落地，直接转化为实际交易仓位</w:t>
      </w:r>
    </w:p>
    <w:p w14:paraId="484A8F86"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hAnsi="Arial" w:eastAsia="等线" w:cs="Arial"/>
          <w:b/>
          <w:sz w:val="30"/>
        </w:rPr>
        <w:t>1.3 核心概念速览</w:t>
      </w:r>
      <w:bookmarkEnd w:id="3"/>
    </w:p>
    <w:p w14:paraId="0F6277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在深入使用平台前，我们需要先了解几个贯穿整个平台使用流程的核心术语。这些术语是构建量化策略的基础，您不需要一下子完全记住，但在后续学习过程中，建议随时回顾这些定义，确保理解到位。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00"/>
      </w:tblGrid>
      <w:tr w14:paraId="0FF435F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A23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术语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816CF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解释</w:t>
            </w:r>
          </w:p>
        </w:tc>
      </w:tr>
      <w:tr w14:paraId="60C017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C3100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策略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61F3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一套完整的量化交易规则，由选股条件、交易规则、风险限制三部分组成。这个规则体系是严格且完整的，明确了 "买什么股票、什么时候买、买多少、什么时候卖" 的全部细节</w:t>
            </w:r>
          </w:p>
        </w:tc>
      </w:tr>
      <w:tr w14:paraId="7193962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AF5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因子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B005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股票的单一量化评价标准，是构建策略的基本元素。一条因子通常对应一个明确问题的量化答案，比如 "这家公司的市盈率是多少"" 这只股票的近 20 日涨幅是多少 "</w:t>
            </w:r>
          </w:p>
        </w:tc>
      </w:tr>
      <w:tr w14:paraId="42227D2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792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筛选条件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24AA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策略的 "粗选股票池" 环节 —— 通过设置明确的门槛指标，初步过滤掉不符合基础投资逻辑的股票，比如剔除 ST 股、流动性不足的僵尸股、或财报数据存在明显瑕疵的个股</w:t>
            </w:r>
          </w:p>
        </w:tc>
      </w:tr>
      <w:tr w14:paraId="4EC877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F8B3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排名条件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C4B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策略的 "精选优质股" 环节 —— 对粗选后留下的股票，按照预设的投资维度（如盈利能力、估值水平）进行综合打分排序，帮助投资者从备选股票池中筛选出最符合核心投资逻辑的标的</w:t>
            </w:r>
          </w:p>
        </w:tc>
      </w:tr>
      <w:tr w14:paraId="4CEBB3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254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回测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02B4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把设计好的量化策略，重新放到真实的历史行情中进行模拟交易的过程。通过回测，模拟策略在过去的表现，以此判断策略的风险收益特征</w:t>
            </w:r>
          </w:p>
        </w:tc>
      </w:tr>
      <w:tr w14:paraId="345750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D95FB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调仓周期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BF6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策略自动执行买卖操作的时间间隔，即系统多久会重新筛选一次股票、调整一次仓位。可以设置为 1 个交易日、1 周、1 月或者自定义调仓周期。</w:t>
            </w:r>
          </w:p>
        </w:tc>
      </w:tr>
      <w:tr w14:paraId="36AF3B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DB7C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择时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50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策略中专门用于判断大盘整体趋势、决定市场整体参与仓位的模块。这是控制系统性风险的关键手段，比如识别熊市时自动降仓规避下跌</w:t>
            </w:r>
          </w:p>
        </w:tc>
      </w:tr>
      <w:tr w14:paraId="319379F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D0A6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自定义指标</w:t>
            </w:r>
          </w:p>
        </w:tc>
        <w:tc>
          <w:tcPr>
            <w:tcW w:w="30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DC89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用户对平台公共因子进行组合、二次计算后得出的个性化新因子。创建后使用方式与官方因子完全一致</w:t>
            </w:r>
          </w:p>
        </w:tc>
      </w:tr>
    </w:tbl>
    <w:p w14:paraId="2D52712F">
      <w:pPr>
        <w:spacing w:before="380" w:after="140" w:line="288" w:lineRule="auto"/>
        <w:ind w:left="0"/>
        <w:jc w:val="left"/>
        <w:outlineLvl w:val="0"/>
      </w:pPr>
      <w:bookmarkStart w:id="4" w:name="heading_5"/>
      <w:r>
        <w:rPr>
          <w:rFonts w:ascii="Arial" w:hAnsi="Arial" w:eastAsia="等线" w:cs="Arial"/>
          <w:b/>
          <w:sz w:val="36"/>
        </w:rPr>
        <w:t>第二部分： 快速上手 —— 您的第一个策略之旅</w:t>
      </w:r>
      <w:bookmarkEnd w:id="4"/>
    </w:p>
    <w:p w14:paraId="389EF0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接下来，我们将引导您完成从注册到实盘交易的完整流程。这是理解果仁网工作原理的最佳途径 —— 请跟随我们的步骤，在平台上实际操作一遍，量化投资的门槛将彻底消失。</w:t>
      </w:r>
    </w:p>
    <w:p w14:paraId="0C1E2CA9">
      <w:pPr>
        <w:spacing w:before="320" w:after="120" w:line="288" w:lineRule="auto"/>
        <w:ind w:left="0"/>
        <w:jc w:val="left"/>
        <w:outlineLvl w:val="1"/>
      </w:pPr>
      <w:bookmarkStart w:id="5" w:name="heading_6"/>
      <w:r>
        <w:rPr>
          <w:rFonts w:ascii="Arial" w:hAnsi="Arial" w:eastAsia="等线" w:cs="Arial"/>
          <w:b/>
          <w:sz w:val="32"/>
        </w:rPr>
        <w:t>2.1 准备工作</w:t>
      </w:r>
      <w:bookmarkEnd w:id="5"/>
    </w:p>
    <w:p w14:paraId="222382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在正式开始创建策略前，请先完成以下准备工作，确保您的操作体验流畅且完整：</w:t>
      </w:r>
    </w:p>
    <w:p w14:paraId="457BD1E6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注册并登录账号</w:t>
      </w:r>
      <w:r>
        <w:rPr>
          <w:rFonts w:ascii="Arial" w:hAnsi="Arial" w:eastAsia="等线" w:cs="Arial"/>
          <w:sz w:val="22"/>
        </w:rPr>
        <w:t>：访问果仁网官方网站（</w:t>
      </w:r>
      <w:r>
        <w:fldChar w:fldCharType="begin"/>
      </w:r>
      <w:r>
        <w:instrText xml:space="preserve"> HYPERLINK "https://guorn.com"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https://guorn.com</w:t>
      </w:r>
      <w:r>
        <w:rPr>
          <w:rFonts w:ascii="Arial" w:hAnsi="Arial" w:eastAsia="等线" w:cs="Arial"/>
          <w:color w:val="3370FF"/>
          <w:sz w:val="22"/>
        </w:rPr>
        <w:fldChar w:fldCharType="end"/>
      </w:r>
      <w:r>
        <w:rPr>
          <w:rFonts w:ascii="Arial" w:hAnsi="Arial" w:eastAsia="等线" w:cs="Arial"/>
          <w:sz w:val="22"/>
        </w:rPr>
        <w:t>），通过手机号快速创建账号，完成基础身份验证后登录平台。如果您有通达信、大智慧等传统选股软件的使用经验，将能更快理解果仁网的操作逻辑。</w:t>
      </w:r>
    </w:p>
    <w:p w14:paraId="261E64DC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熟悉操作界面</w:t>
      </w:r>
      <w:r>
        <w:rPr>
          <w:rFonts w:ascii="Arial" w:hAnsi="Arial" w:eastAsia="等线" w:cs="Arial"/>
          <w:sz w:val="22"/>
        </w:rPr>
        <w:t>：果仁网的核心策略开发、回测、实盘功能，均需通过电脑端浏览器访问操作。为了保证功能的完整性和操作的流畅性，我们推荐使用 Chrome 浏览器，若使用 Opera、360 极速模式、Safari 均可；不建议使用 IE</w:t>
      </w:r>
      <w:r>
        <w:rPr>
          <w:rFonts w:hint="eastAsia" w:ascii="Arial" w:hAnsi="Arial" w:eastAsia="等线" w:cs="Arial"/>
          <w:sz w:val="22"/>
          <w:lang w:val="en-US" w:eastAsia="zh-CN"/>
        </w:rPr>
        <w:t>浏览器</w:t>
      </w:r>
      <w:r>
        <w:rPr>
          <w:rFonts w:ascii="Arial" w:hAnsi="Arial" w:eastAsia="等线" w:cs="Arial"/>
          <w:sz w:val="22"/>
        </w:rPr>
        <w:t>。</w:t>
      </w:r>
    </w:p>
    <w:p w14:paraId="39673CB0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明确投资理念</w:t>
      </w:r>
      <w:r>
        <w:rPr>
          <w:rFonts w:ascii="Arial" w:hAnsi="Arial" w:eastAsia="等线" w:cs="Arial"/>
          <w:sz w:val="22"/>
        </w:rPr>
        <w:t>：在动手创建策略前，请先梳理自身投资逻辑：是趋势跟踪、价值回归，还是红利投资？清晰的思路是设计优秀策略的前提。</w:t>
      </w:r>
    </w:p>
    <w:p w14:paraId="235FFCB5">
      <w:pPr>
        <w:spacing w:before="320" w:after="120" w:line="288" w:lineRule="auto"/>
        <w:ind w:left="0"/>
        <w:jc w:val="left"/>
        <w:outlineLvl w:val="1"/>
      </w:pPr>
      <w:bookmarkStart w:id="6" w:name="heading_7"/>
      <w:r>
        <w:rPr>
          <w:rFonts w:ascii="Arial" w:hAnsi="Arial" w:eastAsia="等线" w:cs="Arial"/>
          <w:b/>
          <w:sz w:val="32"/>
        </w:rPr>
        <w:t>2.2 第一步：创建您的第一个实战量化策略</w:t>
      </w:r>
      <w:bookmarkEnd w:id="6"/>
    </w:p>
    <w:p w14:paraId="02F58D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本节将带领新手从零搭建一套低波动、风控严格、适配 A 股普通行情的实战量化策略。该策略摒弃复杂参数，兼顾稳定性与实操性，零基础用户也可快速复刻，搭建完成后直接开展回测验证。下面为完整分步操作指引：</w:t>
      </w:r>
    </w:p>
    <w:p w14:paraId="117B393A">
      <w:pPr>
        <w:spacing w:before="300" w:after="120" w:line="288" w:lineRule="auto"/>
        <w:ind w:left="0"/>
        <w:jc w:val="left"/>
        <w:outlineLvl w:val="2"/>
      </w:pPr>
      <w:bookmarkStart w:id="7" w:name="heading_8"/>
      <w:r>
        <w:rPr>
          <w:rFonts w:ascii="Arial" w:hAnsi="Arial" w:eastAsia="等线" w:cs="Arial"/>
          <w:b/>
          <w:sz w:val="30"/>
        </w:rPr>
        <w:t>2.2.1 基础投资域与股票池配置（核心选股范围）</w:t>
      </w:r>
      <w:bookmarkEnd w:id="7"/>
    </w:p>
    <w:p w14:paraId="1C6474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本步骤用于划定整体选股范围，从源头剔除高风险、无法正常交易的股票。</w:t>
      </w:r>
    </w:p>
    <w:p w14:paraId="0C75D567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866775"/>
            <wp:effectExtent l="0" t="0" r="0" b="1905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65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统一配置参数如下：</w:t>
      </w:r>
    </w:p>
    <w:p w14:paraId="02ED83CD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股票池：全部股票</w:t>
      </w:r>
    </w:p>
    <w:p w14:paraId="3D3FBEE7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系统股票池：全部股票</w:t>
      </w:r>
    </w:p>
    <w:p w14:paraId="0D740F3A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指数：全部</w:t>
      </w:r>
    </w:p>
    <w:p w14:paraId="28B2B753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板块：全部</w:t>
      </w:r>
    </w:p>
    <w:p w14:paraId="479957A3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行业标准：申万 2014</w:t>
      </w:r>
    </w:p>
    <w:p w14:paraId="59EAEA70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行业、二级行业：全部</w:t>
      </w:r>
    </w:p>
    <w:p w14:paraId="69625FAB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交易所、地区省份、企业性质、融资融券：全部</w:t>
      </w:r>
    </w:p>
    <w:p w14:paraId="674F9A66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风险标的过滤：排除 ST 股票、排除科创板股票</w:t>
      </w:r>
    </w:p>
    <w:p w14:paraId="5FEDBF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配置说明</w:t>
      </w:r>
      <w:r>
        <w:rPr>
          <w:rFonts w:ascii="Arial" w:hAnsi="Arial" w:eastAsia="等线" w:cs="Arial"/>
          <w:sz w:val="22"/>
        </w:rPr>
        <w:t>：以上规则仅保留主板、创业板正常交易的普通 A 股，剔除 ST 风险股、科创板高波动标的，大幅降低踩雷风险。</w:t>
      </w:r>
    </w:p>
    <w:p w14:paraId="224A3087">
      <w:pPr>
        <w:spacing w:before="300" w:after="120" w:line="288" w:lineRule="auto"/>
        <w:ind w:left="0"/>
        <w:jc w:val="left"/>
        <w:outlineLvl w:val="2"/>
      </w:pPr>
      <w:bookmarkStart w:id="8" w:name="heading_9"/>
      <w:r>
        <w:rPr>
          <w:rFonts w:ascii="Arial" w:hAnsi="Arial" w:eastAsia="等线" w:cs="Arial"/>
          <w:b/>
          <w:sz w:val="30"/>
        </w:rPr>
        <w:t>2.2.2 筛选条件配置（粗选优质标的）</w:t>
      </w:r>
      <w:bookmarkEnd w:id="8"/>
    </w:p>
    <w:p w14:paraId="050724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通过量化条件进一步筛选，锁定流动性充足、无潜在风险的候选股票。</w:t>
      </w:r>
    </w:p>
    <w:p w14:paraId="2F094EAF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209675"/>
            <wp:effectExtent l="0" t="0" r="0" b="9525"/>
            <wp:docPr id="2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CDD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新增 2 项核心筛选条件：</w:t>
      </w:r>
    </w:p>
    <w:p w14:paraId="195B0D65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5 日均成交金额 ＞ 0.1 亿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释义：筛选近 5 日日均成交额超过 1000 万的股票，保障交易流动性，规避冷门个股。</w:t>
      </w:r>
    </w:p>
    <w:p w14:paraId="32AF8838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果仁风险预警 25 版 ＝ 0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释义：剔除存在业绩、监管、资金异常等风险的股票，完成基础风控。</w:t>
      </w:r>
    </w:p>
    <w:p w14:paraId="3A2EBADE">
      <w:pPr>
        <w:spacing w:before="300" w:after="120" w:line="288" w:lineRule="auto"/>
        <w:ind w:left="0"/>
        <w:jc w:val="left"/>
        <w:outlineLvl w:val="2"/>
      </w:pPr>
      <w:bookmarkStart w:id="9" w:name="heading_10"/>
      <w:r>
        <w:rPr>
          <w:rFonts w:ascii="Arial" w:hAnsi="Arial" w:eastAsia="等线" w:cs="Arial"/>
          <w:b/>
          <w:sz w:val="30"/>
        </w:rPr>
        <w:t>2.2.3 排名条件配置（精选核心持仓标的）</w:t>
      </w:r>
      <w:bookmarkEnd w:id="9"/>
    </w:p>
    <w:p w14:paraId="043171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在筛选后的股票池中进一步精选个股，确定最终持仓标的。</w:t>
      </w:r>
    </w:p>
    <w:p w14:paraId="2347999B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047750"/>
            <wp:effectExtent l="0" t="0" r="0" b="3810"/>
            <wp:docPr id="3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6D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排名参数设置：</w:t>
      </w:r>
      <w:r>
        <w:rPr>
          <w:rFonts w:ascii="Arial" w:hAnsi="Arial" w:eastAsia="等线" w:cs="Arial"/>
          <w:b/>
          <w:sz w:val="22"/>
        </w:rPr>
        <w:t>年内累计涨幅 从小到大 全部 1</w:t>
      </w:r>
    </w:p>
    <w:p w14:paraId="47DB2B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配置说明</w:t>
      </w:r>
      <w:r>
        <w:rPr>
          <w:rFonts w:ascii="Arial" w:hAnsi="Arial" w:eastAsia="等线" w:cs="Arial"/>
          <w:sz w:val="22"/>
        </w:rPr>
        <w:t>：优先选择年内涨幅偏低、估值合理的低位股票，捕捉补涨机会，规避高位追涨风险，整体偏向稳健风格；最终选取排名第 1 的标的作为核心候选持仓。</w:t>
      </w:r>
    </w:p>
    <w:p w14:paraId="7DE81656">
      <w:pPr>
        <w:spacing w:before="300" w:after="120" w:line="288" w:lineRule="auto"/>
        <w:ind w:left="0"/>
        <w:jc w:val="left"/>
        <w:outlineLvl w:val="2"/>
      </w:pPr>
      <w:bookmarkStart w:id="10" w:name="heading_11"/>
      <w:r>
        <w:rPr>
          <w:rFonts w:ascii="Arial" w:hAnsi="Arial" w:eastAsia="等线" w:cs="Arial"/>
          <w:b/>
          <w:sz w:val="30"/>
        </w:rPr>
        <w:t>2.2.4 交易模型核心配置（调仓与仓位规则）</w:t>
      </w:r>
      <w:bookmarkEnd w:id="10"/>
    </w:p>
    <w:p w14:paraId="3D2A1C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交易模型决定调仓频率、交易价格与仓位分配，是实盘落地的核心环节，本次选用模型 II。</w:t>
      </w:r>
    </w:p>
    <w:p w14:paraId="67DBF0B8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962025"/>
            <wp:effectExtent l="0" t="0" r="0" b="13335"/>
            <wp:docPr id="4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1B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基础交易参数：</w:t>
      </w:r>
    </w:p>
    <w:p w14:paraId="71942223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模型：II</w:t>
      </w:r>
    </w:p>
    <w:p w14:paraId="65D1DE07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调仓周期：1</w:t>
      </w:r>
    </w:p>
    <w:p w14:paraId="0EEA6DED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调仓价格：14:00</w:t>
      </w:r>
    </w:p>
    <w:p w14:paraId="653D37F7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空闲资金配置：无</w:t>
      </w:r>
    </w:p>
    <w:p w14:paraId="60276193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实时选股：未勾选</w:t>
      </w:r>
    </w:p>
    <w:p w14:paraId="15A3FCC6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新股理想仓位：2%</w:t>
      </w:r>
    </w:p>
    <w:p w14:paraId="0D117A03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最小建仓仓位：1%</w:t>
      </w:r>
    </w:p>
    <w:p w14:paraId="25A69FE2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个股仓位范围：1.4% ~ 2.6%</w:t>
      </w:r>
    </w:p>
    <w:p w14:paraId="23F3A6CC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备选买入股票数：5</w:t>
      </w:r>
    </w:p>
    <w:p w14:paraId="4475709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配置说明</w:t>
      </w:r>
      <w:r>
        <w:rPr>
          <w:rFonts w:ascii="Arial" w:hAnsi="Arial" w:eastAsia="等线" w:cs="Arial"/>
          <w:sz w:val="22"/>
        </w:rPr>
        <w:t>：每日 14:00 执行调仓，规避日内短期波动；严格限制单只股票仓位，通过分散持仓降低风险。</w:t>
      </w:r>
    </w:p>
    <w:p w14:paraId="32DD0DE9">
      <w:pPr>
        <w:spacing w:before="300" w:after="120" w:line="288" w:lineRule="auto"/>
        <w:ind w:left="0"/>
        <w:jc w:val="left"/>
        <w:outlineLvl w:val="2"/>
      </w:pPr>
      <w:bookmarkStart w:id="11" w:name="heading_12"/>
      <w:r>
        <w:rPr>
          <w:rFonts w:ascii="Arial" w:hAnsi="Arial" w:eastAsia="等线" w:cs="Arial"/>
          <w:b/>
          <w:sz w:val="30"/>
        </w:rPr>
        <w:t>2.2.5 新股买入限制规则</w:t>
      </w:r>
      <w:bookmarkEnd w:id="11"/>
    </w:p>
    <w:p w14:paraId="6156A5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补充买入限制，进一步分散行业风险、保障交易可行性。</w:t>
      </w:r>
    </w:p>
    <w:p w14:paraId="158DC644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590675"/>
            <wp:effectExtent l="0" t="0" r="0" b="9525"/>
            <wp:docPr id="5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FEE70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行业股票数 ≤ 5</w:t>
      </w:r>
    </w:p>
    <w:p w14:paraId="58196F44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调仓日交易时非跌停</w:t>
      </w:r>
    </w:p>
    <w:p w14:paraId="5EE35C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配置说明</w:t>
      </w:r>
      <w:r>
        <w:rPr>
          <w:rFonts w:ascii="Arial" w:hAnsi="Arial" w:eastAsia="等线" w:cs="Arial"/>
          <w:sz w:val="22"/>
        </w:rPr>
        <w:t>：限制单一行业持仓数量，规避板块系统性风险；禁止买入跌停个股，保障正常交易。</w:t>
      </w:r>
    </w:p>
    <w:p w14:paraId="652FCD01">
      <w:pPr>
        <w:spacing w:before="300" w:after="120" w:line="288" w:lineRule="auto"/>
        <w:ind w:left="0"/>
        <w:jc w:val="left"/>
        <w:outlineLvl w:val="2"/>
      </w:pPr>
      <w:bookmarkStart w:id="12" w:name="heading_13"/>
      <w:r>
        <w:rPr>
          <w:rFonts w:ascii="Arial" w:hAnsi="Arial" w:eastAsia="等线" w:cs="Arial"/>
          <w:b/>
          <w:sz w:val="30"/>
        </w:rPr>
        <w:t>2.2.6 卖出条件与不卖条件配置</w:t>
      </w:r>
      <w:bookmarkEnd w:id="12"/>
    </w:p>
    <w:p w14:paraId="5CF7F7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设置止盈、止损、轮换规则，同时区分特殊持仓场景，兼顾收益与风控。</w:t>
      </w:r>
    </w:p>
    <w:p w14:paraId="36F747ED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495425"/>
            <wp:effectExtent l="0" t="0" r="0" b="13335"/>
            <wp:docPr id="6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15F4">
      <w:pPr>
        <w:spacing w:before="260" w:after="120" w:line="288" w:lineRule="auto"/>
        <w:ind w:left="0"/>
        <w:jc w:val="left"/>
        <w:outlineLvl w:val="3"/>
      </w:pPr>
      <w:bookmarkStart w:id="13" w:name="heading_14"/>
      <w:r>
        <w:rPr>
          <w:rFonts w:ascii="Arial" w:hAnsi="Arial" w:eastAsia="等线" w:cs="Arial"/>
          <w:b/>
          <w:sz w:val="28"/>
        </w:rPr>
        <w:t>(1) 卖出条件（满足任意一条即执行卖出）</w:t>
      </w:r>
      <w:bookmarkEnd w:id="13"/>
    </w:p>
    <w:p w14:paraId="2FE7B104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排名名次 ≥ 95：个股排名下滑，执行被动调仓轮换</w:t>
      </w:r>
    </w:p>
    <w:p w14:paraId="2A63675F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买入后涨幅 ≥ 40%：自动止盈，锁定收益</w:t>
      </w:r>
    </w:p>
    <w:p w14:paraId="7124BC02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323975"/>
            <wp:effectExtent l="0" t="0" r="0" b="1905"/>
            <wp:docPr id="7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207C3">
      <w:pPr>
        <w:spacing w:before="260" w:after="120" w:line="288" w:lineRule="auto"/>
        <w:ind w:left="0"/>
        <w:jc w:val="left"/>
        <w:outlineLvl w:val="3"/>
      </w:pPr>
      <w:bookmarkStart w:id="14" w:name="heading_15"/>
      <w:r>
        <w:rPr>
          <w:rFonts w:ascii="Arial" w:hAnsi="Arial" w:eastAsia="等线" w:cs="Arial"/>
          <w:b/>
          <w:sz w:val="28"/>
        </w:rPr>
        <w:t>(2) 不卖条件（优先级高于卖出规则）</w:t>
      </w:r>
      <w:bookmarkEnd w:id="14"/>
    </w:p>
    <w:p w14:paraId="03DA4E04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调仓日交易时涨停：涨停标的继续持有，博取行情延续收益</w:t>
      </w:r>
    </w:p>
    <w:p w14:paraId="1F80C615">
      <w:pPr>
        <w:spacing w:before="300" w:after="120" w:line="288" w:lineRule="auto"/>
        <w:ind w:left="0"/>
        <w:jc w:val="left"/>
        <w:outlineLvl w:val="2"/>
      </w:pPr>
      <w:bookmarkStart w:id="15" w:name="heading_16"/>
      <w:r>
        <w:rPr>
          <w:rFonts w:ascii="Arial" w:hAnsi="Arial" w:eastAsia="等线" w:cs="Arial"/>
          <w:b/>
          <w:sz w:val="30"/>
        </w:rPr>
        <w:t>2.2.7 大盘择时配置</w:t>
      </w:r>
      <w:bookmarkEnd w:id="15"/>
    </w:p>
    <w:p w14:paraId="7A2A5E2F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066800"/>
            <wp:effectExtent l="0" t="0" r="0" b="0"/>
            <wp:docPr id="8" name="Draw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947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本策略大盘择时设置为：</w:t>
      </w:r>
      <w:r>
        <w:rPr>
          <w:rFonts w:ascii="Arial" w:hAnsi="Arial" w:eastAsia="等线" w:cs="Arial"/>
          <w:b/>
          <w:sz w:val="22"/>
        </w:rPr>
        <w:t>无</w:t>
      </w:r>
    </w:p>
    <w:p w14:paraId="14A5B2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配置说明</w:t>
      </w:r>
      <w:r>
        <w:rPr>
          <w:rFonts w:ascii="Arial" w:hAnsi="Arial" w:eastAsia="等线" w:cs="Arial"/>
          <w:sz w:val="22"/>
        </w:rPr>
        <w:t>：策略不针对大盘单独择时，全年正常持仓；依靠个股筛选、仓位分散、止盈止损规则控制整体风险，逻辑简单，新手易上手。</w:t>
      </w:r>
    </w:p>
    <w:p w14:paraId="40261024">
      <w:pPr>
        <w:spacing w:before="300" w:after="120" w:line="288" w:lineRule="auto"/>
        <w:ind w:left="0"/>
        <w:jc w:val="left"/>
        <w:outlineLvl w:val="2"/>
      </w:pPr>
      <w:bookmarkStart w:id="16" w:name="heading_17"/>
      <w:r>
        <w:rPr>
          <w:rFonts w:ascii="Arial" w:hAnsi="Arial" w:eastAsia="等线" w:cs="Arial"/>
          <w:b/>
          <w:sz w:val="30"/>
        </w:rPr>
        <w:t>2.2.8 执行回测验证（新手必做步骤）</w:t>
      </w:r>
      <w:bookmarkEnd w:id="16"/>
    </w:p>
    <w:p w14:paraId="6A5335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完成以上全部参数配置后，代表策略搭建完毕。回测是量化策略的核心验证环节，可检验策略在历史行情中的表现。</w:t>
      </w:r>
    </w:p>
    <w:p w14:paraId="3700ED38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628650"/>
            <wp:effectExtent l="0" t="0" r="0" b="11430"/>
            <wp:docPr id="9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E7F47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设置回测时长</w:t>
      </w:r>
      <w:r>
        <w:rPr>
          <w:rFonts w:ascii="Arial" w:hAnsi="Arial" w:eastAsia="等线" w:cs="Arial"/>
          <w:sz w:val="22"/>
        </w:rPr>
        <w:t>：我们设置回测区间为 2021/01/01-2026/06/10，然后点击 "开始回测" 启动回测系统将基于完整历史数据，模拟策略选股、买卖、调仓的全流程。</w:t>
      </w:r>
    </w:p>
    <w:p w14:paraId="2378FEB1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查看基础回测结果</w:t>
      </w:r>
      <w:r>
        <w:rPr>
          <w:rFonts w:ascii="Arial" w:hAnsi="Arial" w:eastAsia="等线" w:cs="Arial"/>
          <w:sz w:val="22"/>
        </w:rPr>
        <w:t>：回测完成后，页面会展示核心数据与收益曲线。新手可优先关注两大板块：</w:t>
      </w:r>
    </w:p>
    <w:p w14:paraId="1D4E3CD4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952500"/>
            <wp:effectExtent l="0" t="0" r="0" b="7620"/>
            <wp:docPr id="10" name="Draw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4D7ED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1990725"/>
            <wp:effectExtent l="0" t="0" r="0" b="5715"/>
            <wp:docPr id="11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55C1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整体收益：对比策略与大盘的盈利水平</w:t>
      </w:r>
    </w:p>
    <w:p w14:paraId="597626C5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收益曲线：观察走势平稳度，判断策略波动大小</w:t>
      </w:r>
    </w:p>
    <w:p w14:paraId="73917E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提示：复杂回测指标的详细解读，可查阅文档第四部分「解读回测结果的核心指标」。</w:t>
      </w:r>
    </w:p>
    <w:p w14:paraId="44F4CDBB">
      <w:pPr>
        <w:spacing w:before="300" w:after="120" w:line="288" w:lineRule="auto"/>
        <w:ind w:left="0"/>
        <w:jc w:val="left"/>
        <w:outlineLvl w:val="2"/>
      </w:pPr>
      <w:bookmarkStart w:id="17" w:name="heading_18"/>
      <w:r>
        <w:rPr>
          <w:rFonts w:ascii="Arial" w:hAnsi="Arial" w:eastAsia="等线" w:cs="Arial"/>
          <w:b/>
          <w:sz w:val="30"/>
        </w:rPr>
        <w:t>2.2.9 策略整体说明（新手必读）</w:t>
      </w:r>
      <w:bookmarkEnd w:id="17"/>
    </w:p>
    <w:p w14:paraId="6479C0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本案例是一套低位布局、分散持仓、严格止盈止损、每日动态调仓的稳健型量化策略。</w:t>
      </w:r>
    </w:p>
    <w:p w14:paraId="701DB075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风险可控</w:t>
      </w:r>
      <w:r>
        <w:rPr>
          <w:rFonts w:ascii="Arial" w:hAnsi="Arial" w:eastAsia="等线" w:cs="Arial"/>
          <w:sz w:val="22"/>
        </w:rPr>
        <w:t>：多层规则过滤风险个股，搭配仓位限制、止损机制，有效降低回撤</w:t>
      </w:r>
    </w:p>
    <w:p w14:paraId="3983A6ED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逻辑务实</w:t>
      </w:r>
      <w:r>
        <w:rPr>
          <w:rFonts w:ascii="Arial" w:hAnsi="Arial" w:eastAsia="等线" w:cs="Arial"/>
          <w:sz w:val="22"/>
        </w:rPr>
        <w:t>：坚持低位选股思路，不盲目追高，适配 A 股多数市场环境</w:t>
      </w:r>
    </w:p>
    <w:p w14:paraId="2C7C6C82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贴近实盘</w:t>
      </w:r>
      <w:r>
        <w:rPr>
          <w:rFonts w:ascii="Arial" w:hAnsi="Arial" w:eastAsia="等线" w:cs="Arial"/>
          <w:sz w:val="22"/>
        </w:rPr>
        <w:t>：尾盘调仓、涨跌停特殊处理等规则，完全贴合真实交易场景</w:t>
      </w:r>
    </w:p>
    <w:p w14:paraId="734F1C42">
      <w:pPr>
        <w:spacing w:before="320" w:after="120" w:line="288" w:lineRule="auto"/>
        <w:ind w:left="0"/>
        <w:jc w:val="left"/>
        <w:outlineLvl w:val="1"/>
      </w:pPr>
      <w:bookmarkStart w:id="18" w:name="heading_19"/>
      <w:r>
        <w:rPr>
          <w:rFonts w:ascii="Arial" w:hAnsi="Arial" w:eastAsia="等线" w:cs="Arial"/>
          <w:b/>
          <w:sz w:val="32"/>
        </w:rPr>
        <w:t>2.3 同源策略对比：为什么选择低位选股？</w:t>
      </w:r>
      <w:bookmarkEnd w:id="18"/>
    </w:p>
    <w:p w14:paraId="782837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完成策略搭建并跑完回测后，很多新手会产生疑问：为何要将「年内累计涨幅」设置为从小到大排序？本节通过两组对照策略，结合回测结果通俗解读设计逻辑。</w:t>
      </w:r>
    </w:p>
    <w:p w14:paraId="3054EF4E">
      <w:pPr>
        <w:spacing w:before="300" w:after="120" w:line="288" w:lineRule="auto"/>
        <w:ind w:left="0"/>
        <w:jc w:val="left"/>
        <w:outlineLvl w:val="2"/>
      </w:pPr>
      <w:bookmarkStart w:id="19" w:name="heading_20"/>
      <w:r>
        <w:rPr>
          <w:rFonts w:ascii="Arial" w:hAnsi="Arial" w:eastAsia="等线" w:cs="Arial"/>
          <w:b/>
          <w:sz w:val="30"/>
        </w:rPr>
        <w:t>2.3.1 对比规则说明</w:t>
      </w:r>
      <w:bookmarkEnd w:id="19"/>
    </w:p>
    <w:p w14:paraId="20C325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两套策略除选股排名方向不同外，股票池、筛选、交易、风控等所有参数完全一致，保证对比结果客观有效：</w:t>
      </w:r>
    </w:p>
    <w:p w14:paraId="68B60003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策略一</w:t>
      </w:r>
      <w:r>
        <w:rPr>
          <w:rFonts w:ascii="Arial" w:hAnsi="Arial" w:eastAsia="等线" w:cs="Arial"/>
          <w:sz w:val="22"/>
        </w:rPr>
        <w:t>：买入年内涨幅最低的股票（与本节实战策略逻辑一致）</w:t>
      </w:r>
    </w:p>
    <w:p w14:paraId="28D98178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策略二</w:t>
      </w:r>
      <w:r>
        <w:rPr>
          <w:rFonts w:ascii="Arial" w:hAnsi="Arial" w:eastAsia="等线" w:cs="Arial"/>
          <w:sz w:val="22"/>
        </w:rPr>
        <w:t>：买入年内涨幅最高的股票（大众常用追涨思路）</w:t>
      </w:r>
    </w:p>
    <w:p w14:paraId="57B1C97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注：策略一改策略二只需要把排名条件 "年内累计涨幅"（从小到大）排序改为（从大到小）</w:t>
      </w:r>
    </w:p>
    <w:p w14:paraId="6D8796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策略一收益统计：</w:t>
      </w:r>
    </w:p>
    <w:p w14:paraId="62F9D962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952500"/>
            <wp:effectExtent l="0" t="0" r="0" b="7620"/>
            <wp:docPr id="12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183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策略二收益统计：</w:t>
      </w:r>
    </w:p>
    <w:p w14:paraId="1A19BD18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5257800" cy="771525"/>
            <wp:effectExtent l="0" t="0" r="0" b="5715"/>
            <wp:docPr id="13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484B">
      <w:pPr>
        <w:spacing w:before="300" w:after="120" w:line="288" w:lineRule="auto"/>
        <w:ind w:left="0"/>
        <w:jc w:val="left"/>
        <w:outlineLvl w:val="2"/>
      </w:pPr>
      <w:bookmarkStart w:id="20" w:name="heading_21"/>
      <w:r>
        <w:rPr>
          <w:rFonts w:ascii="Arial" w:hAnsi="Arial" w:eastAsia="等线" w:cs="Arial"/>
          <w:b/>
          <w:sz w:val="30"/>
        </w:rPr>
        <w:t>2.3.2 回测结果对比</w:t>
      </w:r>
      <w:bookmarkEnd w:id="20"/>
    </w:p>
    <w:p w14:paraId="1A311C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我们通过历史回测数据，对比两套策略长期的收益与风险表现：</w:t>
      </w:r>
    </w:p>
    <w:p w14:paraId="50F158DD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收益表现</w:t>
      </w:r>
    </w:p>
    <w:p w14:paraId="257F83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低位选股策略长期年化收益表现亮眼，能够持续跑赢主流大盘指数；而采用追涨思路的策略，长期处于亏损状态，无法实现稳定盈利。</w:t>
      </w:r>
    </w:p>
    <w:p w14:paraId="5EDD4B59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风险表现</w:t>
      </w:r>
    </w:p>
    <w:p w14:paraId="55027A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低位选股策略整体波动平缓，账户最大浮亏控制在合理范围，投资安全性更高；追涨策略价格波动剧烈、交易频繁，长期操作下来极易造成本金大幅亏损。</w:t>
      </w:r>
    </w:p>
    <w:p w14:paraId="000C32B4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对比总结：量化投资的核心价值</w:t>
      </w:r>
    </w:p>
    <w:p w14:paraId="6BF8F4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两组策略的巨大差异，直观体现了量化投资的核心作用：</w:t>
      </w:r>
    </w:p>
    <w:p w14:paraId="13DE4609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量化可以验证投资直觉的对错：多数投资者本能认为 "上涨越多的股票越安全"，但历史回测用真实数据证明，这套思路在 A 股市场并不适用，长期追涨会造成持续亏损。</w:t>
      </w:r>
    </w:p>
    <w:p w14:paraId="5FAC01AD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量化可以坚守反人性的交易纪律：低位选股策略会严格按照规则执行，优先选择年内涨幅偏小的标的，不会因主观判断、市场情绪产生追涨杀跌的行为。依靠铁一般的交易纪律，也是量化策略能够长期稳定盈利的核心原因。</w:t>
      </w:r>
    </w:p>
    <w:p w14:paraId="3F61BF21">
      <w:pPr>
        <w:spacing w:before="300" w:after="120" w:line="288" w:lineRule="auto"/>
        <w:ind w:left="0"/>
        <w:jc w:val="left"/>
        <w:outlineLvl w:val="2"/>
      </w:pPr>
      <w:bookmarkStart w:id="21" w:name="heading_22"/>
      <w:r>
        <w:rPr>
          <w:rFonts w:ascii="Arial" w:hAnsi="Arial" w:eastAsia="等线" w:cs="Arial"/>
          <w:b/>
          <w:sz w:val="30"/>
        </w:rPr>
        <w:t>2.3.3 市场逻辑解读</w:t>
      </w:r>
      <w:bookmarkEnd w:id="21"/>
    </w:p>
    <w:p w14:paraId="6ED6D3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 股市场中，短期被爆炒的热门股票，后续回调概率极高；而长期滞涨的低位股票，大多存在估值修复、补涨空间。这也是本策略选择低位选股的核心原因：不追逐热点，布局潜力标的，在控制风险的同时追求稳健收益。</w:t>
      </w:r>
    </w:p>
    <w:p w14:paraId="1ABD09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温馨提示：该思路并非适用于所有行情，遇到极端题材炒作阶段，策略可能阶段性走弱（比如 2026 年上半年 AI 行情）。进阶用户可搭配「大盘择时」功能进一步优化风控。</w:t>
      </w:r>
    </w:p>
    <w:p w14:paraId="0CF7FFD0">
      <w:pPr>
        <w:spacing w:before="300" w:after="120" w:line="288" w:lineRule="auto"/>
        <w:ind w:left="0"/>
        <w:jc w:val="left"/>
        <w:outlineLvl w:val="2"/>
      </w:pPr>
      <w:bookmarkStart w:id="22" w:name="heading_23"/>
      <w:r>
        <w:rPr>
          <w:rFonts w:ascii="Arial" w:hAnsi="Arial" w:eastAsia="等线" w:cs="Arial"/>
          <w:b/>
          <w:sz w:val="30"/>
        </w:rPr>
        <w:t>2.3.4 新手实操小练习</w:t>
      </w:r>
      <w:bookmarkEnd w:id="22"/>
    </w:p>
    <w:p w14:paraId="78E2D5DD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拉长回测时间区间，观察策略长期运行表现；</w:t>
      </w:r>
    </w:p>
    <w:p w14:paraId="7D06CC28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修改排名规则为「年内累计涨幅 从大到小」，重新回测，直观对比两种选股思路的差异。</w:t>
      </w:r>
    </w:p>
    <w:p w14:paraId="63790597">
      <w:pPr>
        <w:spacing w:before="320" w:after="120" w:line="288" w:lineRule="auto"/>
        <w:ind w:left="0"/>
        <w:jc w:val="left"/>
        <w:outlineLvl w:val="1"/>
      </w:pPr>
      <w:bookmarkStart w:id="23" w:name="heading_24"/>
      <w:r>
        <w:rPr>
          <w:rFonts w:ascii="Arial" w:hAnsi="Arial" w:eastAsia="等线" w:cs="Arial"/>
          <w:b/>
          <w:sz w:val="32"/>
        </w:rPr>
        <w:t>2.4 第二步：深度解读回测结果</w:t>
      </w:r>
      <w:bookmarkEnd w:id="23"/>
    </w:p>
    <w:p w14:paraId="7A166D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上文中我们已经完成回测基础查看，本小节带您全面分析回测数据。完成策略搭建后，不要急于投入实盘，历史回测是检验策略可靠性的核心环节。</w:t>
      </w:r>
    </w:p>
    <w:p w14:paraId="0B34ED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启动回测</w:t>
      </w:r>
      <w:r>
        <w:rPr>
          <w:rFonts w:ascii="Arial" w:hAnsi="Arial" w:eastAsia="等线" w:cs="Arial"/>
          <w:sz w:val="22"/>
        </w:rPr>
        <w:t>：在策略回测页，点击页面左下方的「开始回测」按钮，平台将自动进入回测计算流程。</w:t>
      </w:r>
    </w:p>
    <w:p w14:paraId="28D4E1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设置回测参数</w:t>
      </w:r>
      <w:r>
        <w:rPr>
          <w:rFonts w:ascii="Arial" w:hAnsi="Arial" w:eastAsia="等线" w:cs="Arial"/>
          <w:sz w:val="22"/>
        </w:rPr>
        <w:t>：正式计算前请确认回测时间区间、收益基准。为保证结果具备参考性，建议回测周期至少覆盖 5 年，包含完整牛熊行情。果仁网默认使用后复权价格计算，保障收益统计准确。确认参数后点击「确定」开始计算。</w:t>
      </w:r>
    </w:p>
    <w:p w14:paraId="431FA80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分析回测结果</w:t>
      </w:r>
      <w:r>
        <w:rPr>
          <w:rFonts w:ascii="Arial" w:hAnsi="Arial" w:eastAsia="等线" w:cs="Arial"/>
          <w:sz w:val="22"/>
        </w:rPr>
        <w:t>：回测完成后，页面将展示多类核心信息，从以下维度综合评估策略：</w:t>
      </w:r>
    </w:p>
    <w:p w14:paraId="4019256C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核心收益指标：包含总收益、年化收益、Alpha 超额收益。年化收益代表长期盈利能力，Alpha 代表策略独立于大盘的超额回报</w:t>
      </w:r>
    </w:p>
    <w:p w14:paraId="7B975459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风险指标：包含最大回撤、夏普比率。最大回撤代表历史最大浮亏，夏普比率代表风险收益性价比</w:t>
      </w:r>
    </w:p>
    <w:p w14:paraId="5D19C901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收益曲线：直观对比策略与基准指数的走势，判断收益稳定性</w:t>
      </w:r>
    </w:p>
    <w:p w14:paraId="2F94A0E6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持仓与调仓记录：在「历史持仓详情」中查看每一期持仓，支持导出 Excel 文件做深度分析</w:t>
      </w:r>
    </w:p>
    <w:p w14:paraId="295D81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理解回测与实盘的差异</w:t>
      </w:r>
      <w:r>
        <w:rPr>
          <w:rFonts w:ascii="Arial" w:hAnsi="Arial" w:eastAsia="等线" w:cs="Arial"/>
          <w:sz w:val="22"/>
        </w:rPr>
        <w:t>：回测基于历史数据模拟交易，和真实实盘会存在小幅偏差。果仁网已内置交易成本、涨跌停 / 停牌无法成交等真实规则，最大程度缩小偏差，但仍无法完全复刻实时行情、资金冲击等细节，实盘需谨慎对待。</w:t>
      </w:r>
    </w:p>
    <w:p w14:paraId="28729D73">
      <w:pPr>
        <w:spacing w:before="320" w:after="120" w:line="288" w:lineRule="auto"/>
        <w:ind w:left="0"/>
        <w:jc w:val="left"/>
        <w:outlineLvl w:val="1"/>
      </w:pPr>
      <w:bookmarkStart w:id="24" w:name="heading_25"/>
      <w:r>
        <w:rPr>
          <w:rFonts w:ascii="Arial" w:hAnsi="Arial" w:eastAsia="等线" w:cs="Arial"/>
          <w:b/>
          <w:sz w:val="32"/>
        </w:rPr>
        <w:t>2.5 第三步：跟随或实盘您的策略</w:t>
      </w:r>
      <w:bookmarkEnd w:id="24"/>
    </w:p>
    <w:p w14:paraId="03B1056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经过回测验证，如果策略表现符合您的预期，可选择两种方式落地使用，适配不同操作习惯与风险偏好。</w:t>
      </w:r>
    </w:p>
    <w:p w14:paraId="2F674D8E">
      <w:pPr>
        <w:spacing w:before="300" w:after="120" w:line="288" w:lineRule="auto"/>
        <w:ind w:left="0"/>
        <w:jc w:val="left"/>
        <w:outlineLvl w:val="2"/>
      </w:pPr>
      <w:bookmarkStart w:id="25" w:name="heading_26"/>
      <w:r>
        <w:rPr>
          <w:rFonts w:ascii="Arial" w:hAnsi="Arial" w:eastAsia="等线" w:cs="Arial"/>
          <w:b/>
          <w:sz w:val="30"/>
        </w:rPr>
        <w:t>路径一：手动跟随策略</w:t>
      </w:r>
      <w:bookmarkEnd w:id="25"/>
    </w:p>
    <w:p w14:paraId="3E370E16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调仓通知接收</w:t>
      </w:r>
      <w:r>
        <w:rPr>
          <w:rFonts w:ascii="Arial" w:hAnsi="Arial" w:eastAsia="等线" w:cs="Arial"/>
          <w:sz w:val="22"/>
        </w:rPr>
        <w:t>：绑定果仁网官方微信服务号，即可接收每日调仓推送；也可直接登录平台，在策略主页查看当日买卖指令。</w:t>
      </w:r>
    </w:p>
    <w:p w14:paraId="32DFAF48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交易执行</w:t>
      </w:r>
      <w:r>
        <w:rPr>
          <w:rFonts w:ascii="Arial" w:hAnsi="Arial" w:eastAsia="等线" w:cs="Arial"/>
          <w:sz w:val="22"/>
        </w:rPr>
        <w:t>：结合自身资金情况手动调整仓位，在证券账户完成交易。</w:t>
      </w:r>
    </w:p>
    <w:p w14:paraId="4B1EF9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重要提醒：策略指令仅作参考，不代表收益承诺，请结合自身风险承受能力谨慎操作。</w:t>
      </w:r>
    </w:p>
    <w:p w14:paraId="3F891D38">
      <w:pPr>
        <w:spacing w:before="300" w:after="120" w:line="288" w:lineRule="auto"/>
        <w:ind w:left="0"/>
        <w:jc w:val="left"/>
        <w:outlineLvl w:val="2"/>
      </w:pPr>
      <w:bookmarkStart w:id="26" w:name="heading_27"/>
      <w:r>
        <w:rPr>
          <w:rFonts w:ascii="Arial" w:hAnsi="Arial" w:eastAsia="等线" w:cs="Arial"/>
          <w:b/>
          <w:sz w:val="30"/>
        </w:rPr>
        <w:t>路径二：实盘交易</w:t>
      </w:r>
      <w:bookmarkEnd w:id="26"/>
    </w:p>
    <w:p w14:paraId="77D825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果仁网已与第一创业证券、国投证券（原安信证券）等头部券商达成官方合作，支持策略直连实盘。</w:t>
      </w:r>
    </w:p>
    <w:p w14:paraId="1F808CB6">
      <w:pPr>
        <w:numPr>
          <w:ilvl w:val="0"/>
          <w:numId w:val="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开通权限</w:t>
      </w:r>
      <w:r>
        <w:rPr>
          <w:rFonts w:ascii="Arial" w:hAnsi="Arial" w:eastAsia="等线" w:cs="Arial"/>
          <w:sz w:val="22"/>
        </w:rPr>
        <w:t>：完成合作券商开户，并在果仁网实盘页面完成账号绑定、风险测评等流程</w:t>
      </w:r>
    </w:p>
    <w:p w14:paraId="00931396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导出策略</w:t>
      </w:r>
      <w:r>
        <w:rPr>
          <w:rFonts w:ascii="Arial" w:hAnsi="Arial" w:eastAsia="等线" w:cs="Arial"/>
          <w:sz w:val="22"/>
        </w:rPr>
        <w:t>：在策略详情页点击「导出到实盘」，同步规则至券商实盘管家</w:t>
      </w:r>
    </w:p>
    <w:p w14:paraId="61452456">
      <w:pPr>
        <w:numPr>
          <w:ilvl w:val="0"/>
          <w:numId w:val="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模拟盘过渡</w:t>
      </w:r>
      <w:r>
        <w:rPr>
          <w:rFonts w:ascii="Arial" w:hAnsi="Arial" w:eastAsia="等线" w:cs="Arial"/>
          <w:sz w:val="22"/>
        </w:rPr>
        <w:t>：强烈建议先运行模拟盘至少 2 周，验证策略与系统的兼容性</w:t>
      </w:r>
    </w:p>
    <w:p w14:paraId="5F1A602D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启动实盘</w:t>
      </w:r>
      <w:r>
        <w:rPr>
          <w:rFonts w:ascii="Arial" w:hAnsi="Arial" w:eastAsia="等线" w:cs="Arial"/>
          <w:sz w:val="22"/>
        </w:rPr>
        <w:t>：模拟盘运行正常后，切换为实盘模式，系统自动执行交易。运行中可随时查看持仓、交易记录</w:t>
      </w:r>
    </w:p>
    <w:p w14:paraId="6574D44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如需了解更多实盘细节，可查阅果仁论坛置顶帖或联系平台管理员。</w:t>
      </w:r>
    </w:p>
    <w:p w14:paraId="57D82B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重要声明</w:t>
      </w:r>
    </w:p>
    <w:p w14:paraId="64C2E3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以上策略案例、历史回测数据仅作学习交流使用。历史回测结果不代表未来收益，量化投资无法完全规避市场风险，所有实盘交易请保持理性、谨慎决策。</w:t>
      </w:r>
    </w:p>
    <w:p w14:paraId="736A54EC">
      <w:pPr>
        <w:spacing w:before="320" w:after="120" w:line="288" w:lineRule="auto"/>
        <w:ind w:left="0"/>
        <w:jc w:val="left"/>
        <w:outlineLvl w:val="1"/>
      </w:pPr>
      <w:bookmarkStart w:id="27" w:name="heading_28"/>
      <w:r>
        <w:rPr>
          <w:rFonts w:ascii="Arial" w:hAnsi="Arial" w:eastAsia="等线" w:cs="Arial"/>
          <w:b/>
          <w:sz w:val="32"/>
        </w:rPr>
        <w:t>第三部分：深入理解核心功能</w:t>
      </w:r>
      <w:bookmarkEnd w:id="27"/>
    </w:p>
    <w:p w14:paraId="2C8A9F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现在您已经了解了基本流程，接下来我们将深入介绍几个核心功能的使用逻辑，帮您构建更专业、更符合市场实际情况的策略。</w:t>
      </w:r>
    </w:p>
    <w:p w14:paraId="0608C018">
      <w:pPr>
        <w:spacing w:before="300" w:after="120" w:line="288" w:lineRule="auto"/>
        <w:ind w:left="0"/>
        <w:jc w:val="left"/>
        <w:outlineLvl w:val="2"/>
      </w:pPr>
      <w:bookmarkStart w:id="28" w:name="heading_29"/>
      <w:r>
        <w:rPr>
          <w:rFonts w:ascii="Arial" w:hAnsi="Arial" w:eastAsia="等线" w:cs="Arial"/>
          <w:b/>
          <w:sz w:val="30"/>
        </w:rPr>
        <w:t>3.1 筛选与排名：精准选股的核心逻辑</w:t>
      </w:r>
      <w:bookmarkEnd w:id="28"/>
    </w:p>
    <w:p w14:paraId="4E3F49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在前面的入门示例中，我们已经简单了解了筛选条件和排名条件的组合使用方式 —— 这是果仁网策略构建的核心基础，也是量化投资选股环节的最优实践组合。</w:t>
      </w:r>
    </w:p>
    <w:p w14:paraId="3C74FF13">
      <w:pPr>
        <w:spacing w:before="260" w:after="120" w:line="288" w:lineRule="auto"/>
        <w:ind w:left="0"/>
        <w:jc w:val="left"/>
        <w:outlineLvl w:val="3"/>
      </w:pPr>
      <w:bookmarkStart w:id="29" w:name="heading_30"/>
      <w:r>
        <w:rPr>
          <w:rFonts w:ascii="Arial" w:hAnsi="Arial" w:eastAsia="等线" w:cs="Arial"/>
          <w:b/>
          <w:sz w:val="28"/>
        </w:rPr>
        <w:t>3.1.1 筛选条件：构建高质量股票池</w:t>
      </w:r>
      <w:bookmarkEnd w:id="29"/>
    </w:p>
    <w:p w14:paraId="22A154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筛选条件的核心作用，是对全市场的所有股票进行 "海选过关"，快速剔除不符合基础投资门槛、或存在明显风险属性的股票，为后续的精细精选，缩小备选标的范围。</w:t>
      </w:r>
    </w:p>
    <w:p w14:paraId="2B7F1B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这是构建一个稳健策略的前提 —— 如果粗选的股票池质量本身不高，后续再精细的排名逻辑，也很难选出优质标的。在设置筛选条件时，建议您重点关注三类指标，从不同维度过滤低质量标的：</w:t>
      </w:r>
    </w:p>
    <w:p w14:paraId="39695509">
      <w:pPr>
        <w:numPr>
          <w:ilvl w:val="0"/>
          <w:numId w:val="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流动性指标</w:t>
      </w:r>
      <w:r>
        <w:rPr>
          <w:rFonts w:ascii="Arial" w:hAnsi="Arial" w:eastAsia="等线" w:cs="Arial"/>
          <w:sz w:val="22"/>
        </w:rPr>
        <w:t>：例如 20 日平均成交额、流通市值、最近一个月的换手率水平。这类指标的主要作用，是过滤掉流动性不足的 "僵尸股"—— 这类股票日常成交量低，交易时容易出现难以买入或卖出、或冲击成本过高的问题，会对策略的实际收益造成意外损耗。</w:t>
      </w:r>
    </w:p>
    <w:p w14:paraId="5BA9A978">
      <w:pPr>
        <w:numPr>
          <w:ilvl w:val="0"/>
          <w:numId w:val="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基本面指标</w:t>
      </w:r>
      <w:r>
        <w:rPr>
          <w:rFonts w:ascii="Arial" w:hAnsi="Arial" w:eastAsia="等线" w:cs="Arial"/>
          <w:sz w:val="22"/>
        </w:rPr>
        <w:t>：例如市盈率、市净率、ROE（净资产收益率）、资产负债率、经营现金流增速等。这类指标的主要作用，是根据您的投资逻辑，筛选出符合基础基本面要求的公司 —— 如果您的策略是偏向长线价值投资，这类指标的权重应适当提高。</w:t>
      </w:r>
    </w:p>
    <w:p w14:paraId="36E6A66E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技术面指标</w:t>
      </w:r>
      <w:r>
        <w:rPr>
          <w:rFonts w:ascii="Arial" w:hAnsi="Arial" w:eastAsia="等线" w:cs="Arial"/>
          <w:sz w:val="22"/>
        </w:rPr>
        <w:t>：例如 20 日涨幅、收盘价 / 20 日均线、成交量均线交叉信号。这类指标的主要作用，是筛选出符合您预期趋势特征的股票，过滤掉趋势明显偏弱的标的 —— 如果您的策略是偏向中短线趋势类投资，这类指标将是您的核心过滤依据。</w:t>
      </w:r>
    </w:p>
    <w:p w14:paraId="0FE784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需要特别提醒的是，筛选条件的设置并非越多越好 —— 过多的筛选条件，会导致备选股票池的样本数量过少，影响策略的统计学意义，也会限制策略在不同市场环境下的选股灵活性。一般来说，一个策略的筛选条件数量，控制在 3 到 8 个之间</w:t>
      </w:r>
      <w:r>
        <w:rPr>
          <w:rFonts w:hint="eastAsia" w:ascii="Arial" w:hAnsi="Arial" w:eastAsia="等线" w:cs="Arial"/>
          <w:sz w:val="22"/>
          <w:lang w:val="en-US" w:eastAsia="zh-CN"/>
        </w:rPr>
        <w:t>较</w:t>
      </w:r>
      <w:r>
        <w:rPr>
          <w:rFonts w:ascii="Arial" w:hAnsi="Arial" w:eastAsia="等线" w:cs="Arial"/>
          <w:sz w:val="22"/>
        </w:rPr>
        <w:t>为合适。</w:t>
      </w:r>
    </w:p>
    <w:p w14:paraId="6CA1EB42">
      <w:pPr>
        <w:spacing w:before="260" w:after="120" w:line="288" w:lineRule="auto"/>
        <w:ind w:left="0"/>
        <w:jc w:val="left"/>
        <w:outlineLvl w:val="3"/>
      </w:pPr>
      <w:bookmarkStart w:id="30" w:name="heading_31"/>
      <w:r>
        <w:rPr>
          <w:rFonts w:ascii="Arial" w:hAnsi="Arial" w:eastAsia="等线" w:cs="Arial"/>
          <w:b/>
          <w:sz w:val="28"/>
        </w:rPr>
        <w:t>3.1.2 排名条件：优中选优的关键</w:t>
      </w:r>
      <w:bookmarkEnd w:id="30"/>
    </w:p>
    <w:p w14:paraId="77AE38B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经过筛选条件的粗选后，我们已经得到了一个相对高质量的备选股票池。但在多数情况下，这个股票池中的股票数量，仍然会远超我们实际想要买入的数量 —— 比如粗选后还剩 1000 只股票，但您的资金规模最多只能买入 10 只股票。这时候，就需要通过排名条件，对粗选后的股票进行综合打分排序，选出最符合您核心投资逻辑的标的。</w:t>
      </w:r>
    </w:p>
    <w:p w14:paraId="4CDAE14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这是策略盈利能力的核心决定环节 —— 排名条件的设计，直接决定了策略最终能否选出真正的优质股票。在设置排名条件时，有两个核心的要点需要特别注意：</w:t>
      </w:r>
    </w:p>
    <w:p w14:paraId="7C5BCD3C">
      <w:pPr>
        <w:numPr>
          <w:ilvl w:val="0"/>
          <w:numId w:val="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合理选择排名维度</w:t>
      </w:r>
      <w:r>
        <w:rPr>
          <w:rFonts w:ascii="Arial" w:hAnsi="Arial" w:eastAsia="等线" w:cs="Arial"/>
          <w:sz w:val="22"/>
        </w:rPr>
        <w:t>：您需要根据自己的投资逻辑，选择一到两类核心的评价维度。比如，趋势类策略的核心排名维度，通常是股价的相对涨幅、波动率、与均线的偏离幅度等；而价值类策略的核心排名维度，通常是市盈率、市净率、分红率等基本面估值类指标。</w:t>
      </w:r>
    </w:p>
    <w:p w14:paraId="3C7FD9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这里的关键逻辑是：把您最看重的 "选股评价标准"，设置为排名的核心依据 —— 如果您更看重公司的盈利能力，就选择 ROE、净利润增速这类指标作为主要排名依据；如果您更看重公司的估值水平，就选择市盈率、市净率、市现率这类指标作为主要排名依据。</w:t>
      </w:r>
    </w:p>
    <w:p w14:paraId="4F8CF2CD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设置正确的排序方向</w:t>
      </w:r>
      <w:r>
        <w:rPr>
          <w:rFonts w:ascii="Arial" w:hAnsi="Arial" w:eastAsia="等线" w:cs="Arial"/>
          <w:sz w:val="22"/>
        </w:rPr>
        <w:t>：排序方向分为 "从大到小" 和 "从小到大" 两种，需要根据指标的实际经济含义，来选择对应的排序方式。比如，对于趋势类策略的核心指标 "20 日涨幅"，我们希望选出涨幅最大的股票，因此应设置为 "从大到小" 排序；而对于价值类策略的核心指标 "市盈率"，我们希望选出估值相对较低的股票，因此应设置为 "从小到大" 排序。</w:t>
      </w:r>
    </w:p>
    <w:p w14:paraId="5B48CDB1">
      <w:pPr>
        <w:spacing w:before="260" w:after="120" w:line="288" w:lineRule="auto"/>
        <w:ind w:left="0"/>
        <w:jc w:val="left"/>
        <w:outlineLvl w:val="3"/>
      </w:pPr>
      <w:bookmarkStart w:id="31" w:name="heading_32"/>
      <w:r>
        <w:rPr>
          <w:rFonts w:ascii="Arial" w:hAnsi="Arial" w:eastAsia="等线" w:cs="Arial"/>
          <w:b/>
          <w:sz w:val="28"/>
        </w:rPr>
        <w:t>3.1.3 排名和筛选的区别</w:t>
      </w:r>
      <w:bookmarkEnd w:id="31"/>
    </w:p>
    <w:p w14:paraId="356BD16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股票筛选在各个股票网站和软件上都有提供，大家都很熟悉。使用筛选，用户可以迅速挑出满足筛选条件的股票剔除不满足筛选条件股票。</w:t>
      </w:r>
    </w:p>
    <w:p w14:paraId="69D5891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股票排名是一种更有效的更被专业投资者青睐的选股方法，也是果仁网推荐的选股方法。大家在过去一直没有机会接触排名选股的方法，会感到比较陌生，其实它的原理非常简单。在学校里，一个班的学生按各科成绩的综合起来进行排名，排在前面的学生会得奖学金。类似的方法，用户可以对市场上的股票按几项指标进行综合排名，并买入排名靠前的股票。</w:t>
      </w:r>
    </w:p>
    <w:p w14:paraId="7E728C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和筛选相比，排名可以实现更精细更稳定的选股策略，原因如下：</w:t>
      </w:r>
    </w:p>
    <w:p w14:paraId="3918785C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筛选条件的阈值往往难以设定。条件过松时，筛出的股票可能过多，条件过严时，筛出的股票可能过少甚至为空。而使用排名，股票之间总是能排出先后，用户可以较精确地控制选股数量，如前 10 前 100 等。</w:t>
      </w:r>
    </w:p>
    <w:p w14:paraId="27AD9249">
      <w:pPr>
        <w:numPr>
          <w:ilvl w:val="0"/>
          <w:numId w:val="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在筛选股票时，股票只要有一个筛选条件不满足就会被剔除，即使其它指标表现再好都没用。而排名可以多个条件综合考量，即便是有一个条件排名得分低，只要其它条件排名得分高，股票依然可能入选。</w:t>
      </w:r>
    </w:p>
    <w:p w14:paraId="6182116C">
      <w:pPr>
        <w:numPr>
          <w:ilvl w:val="0"/>
          <w:numId w:val="6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在筛选中，所有条件的重要性等同，而在排名中，不同条件可以有不同的权重，重要性可以不同。</w:t>
      </w:r>
    </w:p>
    <w:p w14:paraId="46F238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当用户同时定义筛选条件和排名条件时，果仁会首先按照筛选条件筛选股票，再按照排名条件对股票排名。在实际选股中，大家可首先使用筛选来粗选出一大批股票，再用排名精选出少量的股票作为投资对象。</w:t>
      </w:r>
    </w:p>
    <w:p w14:paraId="0A1B8A64">
      <w:pPr>
        <w:spacing w:before="260" w:after="120" w:line="288" w:lineRule="auto"/>
        <w:ind w:left="0"/>
        <w:jc w:val="left"/>
        <w:outlineLvl w:val="3"/>
      </w:pPr>
      <w:bookmarkStart w:id="32" w:name="heading_33"/>
      <w:r>
        <w:rPr>
          <w:rFonts w:ascii="Arial" w:hAnsi="Arial" w:eastAsia="等线" w:cs="Arial"/>
          <w:b/>
          <w:sz w:val="28"/>
        </w:rPr>
        <w:t>3.1.4 排名分计算规则</w:t>
      </w:r>
      <w:bookmarkEnd w:id="32"/>
    </w:p>
    <w:p w14:paraId="697AB9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排名虽然一直是专业人士的投资方法，但原理非常简单，只要有初级算术的知识就能理解排名分的计算规则。</w:t>
      </w:r>
    </w:p>
    <w:p w14:paraId="4AD0D1E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下面我们用一些实例来介绍果仁排名分的具体计算规则。比如一共有 5 只股票 A，B，C，D，E 参加排名。它们的收盘价分别是 10，12，20，30，40。按收盘价从小到大排名，A，B，C，D，E 的排名就是 1，2，3，4，5。</w:t>
      </w:r>
    </w:p>
    <w:p w14:paraId="67E502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果仁根据排名先后算出排名分，排名分的公式是：</w:t>
      </w:r>
    </w:p>
    <w:p w14:paraId="3C249C4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（股票数 – 股票排名 + 1）/ 股票数 × 100</w:t>
      </w:r>
    </w:p>
    <w:p w14:paraId="27AAD39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按照这个公式，排名第 1 得 100，排名第二得 80，依次类推，排名第 5 得 20。详细情况如下表列出：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5DCA4A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E043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5DA6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收盘价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532C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从小到大排名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5430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从小到大排名分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DD59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从大到小排名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4322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从大到小排名分</w:t>
            </w:r>
          </w:p>
        </w:tc>
      </w:tr>
      <w:tr w14:paraId="63DA7C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59D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B06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8BFBA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AB19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73CA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895B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</w:tr>
      <w:tr w14:paraId="341CE7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F63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7694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149B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D7D3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23D0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F82E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</w:tr>
      <w:tr w14:paraId="1CCAD2C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389D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D533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B722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6108E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B622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420F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</w:tr>
      <w:tr w14:paraId="2BA405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1C4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505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F853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D0C3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AE2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ED7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</w:tr>
      <w:tr w14:paraId="03BE31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F238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4165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0AD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8AE9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D8A1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ED6D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</w:tr>
    </w:tbl>
    <w:p w14:paraId="334FAB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空值处理规则</w:t>
      </w:r>
    </w:p>
    <w:p w14:paraId="66D430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当某只股票的指标为空时，这只股票将一直排在最后，排名分最低。比如 A，B，C，D，E 的市盈率分别为 10，20，30，空，空（当一个公司亏钱时，市盈率无法算出，则市盈率为空），排名分的计算详细在下表列出：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5A776D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5EC2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股票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0D46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E251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从小到大排名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C388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从小到大排名分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EF73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从大到小排名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CBAD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从大到小排名分</w:t>
            </w:r>
          </w:p>
        </w:tc>
      </w:tr>
      <w:tr w14:paraId="719E80D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8A8C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7B8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11840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62DA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B340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6382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</w:tr>
      <w:tr w14:paraId="699954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947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7998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381E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19ED6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C10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8BE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</w:tr>
      <w:tr w14:paraId="40FA2F2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9AB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273A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C152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7DA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4A4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D536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</w:tr>
      <w:tr w14:paraId="66224BD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B7966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1438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2062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6AD6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8510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A4B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</w:tr>
      <w:tr w14:paraId="7D9403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18B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6171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DA18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FE73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CCFD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F3FA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</w:tr>
    </w:tbl>
    <w:p w14:paraId="237FB9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多指标综合排名</w:t>
      </w:r>
    </w:p>
    <w:p w14:paraId="251D209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当有两个以上的指标作为排名条件时，用户可以给每个指标设定权重（默认值为 1），综合排名分 = 排名分 1 × 权重 1 + 排名分 2 × 权重 2 + ...</w:t>
      </w:r>
    </w:p>
    <w:p w14:paraId="20CDDA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为了方便展示，我们对综合排名分再做一次排名，算出排名总分。</w:t>
      </w:r>
    </w:p>
    <w:p w14:paraId="233D45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比如，我们用如下排名条件对股票 A，B，C，D，E 进行排名：</w:t>
      </w:r>
    </w:p>
    <w:p w14:paraId="1FA77E64">
      <w:pPr>
        <w:numPr>
          <w:ilvl w:val="0"/>
          <w:numId w:val="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收盘价，从小到大，权重 1</w:t>
      </w:r>
    </w:p>
    <w:p w14:paraId="3A61B4E1">
      <w:pPr>
        <w:numPr>
          <w:ilvl w:val="0"/>
          <w:numId w:val="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市盈率，从大到小，权重 1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14:paraId="1AC47B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062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股票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EA2B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收盘价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8120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收盘价排名分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1FE0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28E0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市盈率排名分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66B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综合排名分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3BFEA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总排名分</w:t>
            </w:r>
          </w:p>
        </w:tc>
      </w:tr>
      <w:tr w14:paraId="0B809BB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1EF8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A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39F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8C31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5426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B34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7BBC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D2D7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</w:tr>
      <w:tr w14:paraId="467A34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3EFC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C26E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17113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B577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85F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5B2C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574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</w:tr>
      <w:tr w14:paraId="2E2DE8B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C2BE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728F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F353A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6669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5BA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C440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142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</w:tr>
      <w:tr w14:paraId="70B1D4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14AF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D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EF55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0FE5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60F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04B4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4F3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BBB2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</w:tr>
      <w:tr w14:paraId="7AB8F8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0C7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A86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B75C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B2C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空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A03CD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94EF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7757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</w:tr>
    </w:tbl>
    <w:p w14:paraId="55B0768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空值处理总结</w:t>
      </w:r>
    </w:p>
    <w:p w14:paraId="6451FB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一个指标经常有空值，比如 5 年净资产收益率很多股票没有数值。无论是从大到小排，还是从小到大排，空值一直排在最后，也就是指标为空的股票排名分最低，值为空的股票都排在最后。</w:t>
      </w:r>
    </w:p>
    <w:p w14:paraId="1BBDC2DF">
      <w:pPr>
        <w:spacing w:before="300" w:after="120" w:line="288" w:lineRule="auto"/>
        <w:ind w:left="0"/>
        <w:jc w:val="left"/>
        <w:outlineLvl w:val="2"/>
      </w:pPr>
      <w:bookmarkStart w:id="33" w:name="heading_34"/>
      <w:r>
        <w:rPr>
          <w:rFonts w:ascii="Arial" w:hAnsi="Arial" w:eastAsia="等线" w:cs="Arial"/>
          <w:b/>
          <w:sz w:val="30"/>
        </w:rPr>
        <w:t>3.2 自定义指标：打造专属量化策略</w:t>
      </w:r>
      <w:bookmarkEnd w:id="33"/>
    </w:p>
    <w:p w14:paraId="7D0AA0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果仁网提供了超过 1000 个海量公共因子，覆盖了行情、财务、技术、宏观等多维度的标准指标，可以满足大部分用户的基础策略构建需求。但如果您的投资逻辑比较个性化，需要将多个公共因子进行组合、或二次计算后，形成一个新的个性化指标 —— 这就需要用到 "自定义指标" 功能。</w:t>
      </w:r>
    </w:p>
    <w:p w14:paraId="303874B1">
      <w:pPr>
        <w:spacing w:before="260" w:after="120" w:line="288" w:lineRule="auto"/>
        <w:ind w:left="0"/>
        <w:jc w:val="left"/>
        <w:outlineLvl w:val="3"/>
      </w:pPr>
      <w:bookmarkStart w:id="34" w:name="heading_35"/>
      <w:r>
        <w:rPr>
          <w:rFonts w:ascii="Arial" w:hAnsi="Arial" w:eastAsia="等线" w:cs="Arial"/>
          <w:b/>
          <w:sz w:val="28"/>
        </w:rPr>
        <w:t>3.2.1 自定义指标的基本概念</w:t>
      </w:r>
      <w:bookmarkEnd w:id="34"/>
    </w:p>
    <w:p w14:paraId="4DA642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自定义指标的本质，是用户基于平台提供的公共基础因子，通过加减乘除、条件判断、函数调用等组合运算，自定义计算出的全新个性化因子。这些新的因子，可以更精准地匹配用户的特定投资逻辑，解决公共因子无法覆盖的个性化需求。</w:t>
      </w:r>
    </w:p>
    <w:p w14:paraId="39A26E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例如，您可以将 "公司的净利润增速" 与 "营收增速" 两个公共因子进行组合计算，得出一个新的 "成长质量评分" 指标；或者将 "市净率" 与 "ROE" 两个公共因子进行组合，计算出一个新的 "估值盈利匹配度" 指标。</w:t>
      </w:r>
    </w:p>
    <w:p w14:paraId="540391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这些自定义的指标，使用方式和平台官方提供的公共因子完全一致 —— 您可以将它们加入筛选条件，作为粗选股票池的门槛；也可以将它们加入排名条件，作为精选核心标的的关键依据。</w:t>
      </w:r>
    </w:p>
    <w:p w14:paraId="695BF0A9">
      <w:pPr>
        <w:spacing w:before="260" w:after="120" w:line="288" w:lineRule="auto"/>
        <w:ind w:left="0"/>
        <w:jc w:val="left"/>
        <w:outlineLvl w:val="3"/>
      </w:pPr>
      <w:bookmarkStart w:id="35" w:name="heading_36"/>
      <w:r>
        <w:rPr>
          <w:rFonts w:ascii="Arial" w:hAnsi="Arial" w:eastAsia="等线" w:cs="Arial"/>
          <w:b/>
          <w:sz w:val="28"/>
        </w:rPr>
        <w:t>3.2.2 创建自定义指标的流程</w:t>
      </w:r>
      <w:bookmarkEnd w:id="35"/>
    </w:p>
    <w:p w14:paraId="742431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果仁网提供了可视化的自定义指标编辑器，用户不需要编写任何代码，就可以完成公式的组合搭建。创建自定义指标的核心步骤为：</w:t>
      </w:r>
    </w:p>
    <w:p w14:paraId="61DB7956">
      <w:pPr>
        <w:numPr>
          <w:ilvl w:val="0"/>
          <w:numId w:val="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进入自定义指标创建页面</w:t>
      </w:r>
      <w:r>
        <w:rPr>
          <w:rFonts w:ascii="Arial" w:hAnsi="Arial" w:eastAsia="等线" w:cs="Arial"/>
          <w:sz w:val="22"/>
        </w:rPr>
        <w:t>：在策略配置页的左侧菜单栏中，找到「自定义」选项，点击进入自定义指标管理页面，然后点击「新建指标」按钮，进入公式编辑器界面。</w:t>
      </w:r>
    </w:p>
    <w:p w14:paraId="3C79CD32">
      <w:pPr>
        <w:numPr>
          <w:ilvl w:val="0"/>
          <w:numId w:val="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选择基础因子构建公式</w:t>
      </w:r>
      <w:r>
        <w:rPr>
          <w:rFonts w:ascii="Arial" w:hAnsi="Arial" w:eastAsia="等线" w:cs="Arial"/>
          <w:sz w:val="22"/>
        </w:rPr>
        <w:t>：在编辑器的左侧边栏，有一个完整的公共因子列表，您可以从中选择您需要的基础因子，加入到公式编辑框中。然后，使用编辑器提供的数学运算符号、逻辑比较函数，以及平台内置的特殊统计函数，将这些基础因子组合成您需要的计算公式。</w:t>
      </w:r>
    </w:p>
    <w:p w14:paraId="3CB07D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这里需要特别注意的是，公式的语法必须符合果仁网的规则要求 —— 您可以参考果仁量化平台自定义函数列表（</w:t>
      </w:r>
      <w:r>
        <w:fldChar w:fldCharType="begin"/>
      </w:r>
      <w:r>
        <w:instrText xml:space="preserve"> HYPERLINK "https://guorn.com/forum/post/p.3.32886171385419"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https://guorn.com/forum/post/p.3.32886171385419</w:t>
      </w:r>
      <w:r>
        <w:rPr>
          <w:rFonts w:ascii="Arial" w:hAnsi="Arial" w:eastAsia="等线" w:cs="Arial"/>
          <w:color w:val="3370FF"/>
          <w:sz w:val="22"/>
        </w:rPr>
        <w:fldChar w:fldCharType="end"/>
      </w:r>
      <w:r>
        <w:rPr>
          <w:rFonts w:ascii="Arial" w:hAnsi="Arial" w:eastAsia="等线" w:cs="Arial"/>
          <w:sz w:val="22"/>
        </w:rPr>
        <w:t>）文档，查看平台支持的所有运算符、函数的使用规则和样例。</w:t>
      </w:r>
    </w:p>
    <w:p w14:paraId="61C06956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测试验证公式</w:t>
      </w:r>
      <w:r>
        <w:rPr>
          <w:rFonts w:ascii="Arial" w:hAnsi="Arial" w:eastAsia="等线" w:cs="Arial"/>
          <w:sz w:val="22"/>
        </w:rPr>
        <w:t>：公式编辑完成后并保存后，您可以将其添加到策略模型的排名条件里，并通过每日选股功能输出特定日期的截面数据进行验证。如果公式存在错误，每日选股</w:t>
      </w:r>
      <w:r>
        <w:rPr>
          <w:rFonts w:hint="eastAsia" w:ascii="Arial" w:hAnsi="Arial" w:eastAsia="等线" w:cs="Arial"/>
          <w:sz w:val="22"/>
          <w:lang w:val="en-US" w:eastAsia="zh-CN"/>
        </w:rPr>
        <w:t>则</w:t>
      </w:r>
      <w:r>
        <w:rPr>
          <w:rFonts w:ascii="Arial" w:hAnsi="Arial" w:eastAsia="等线" w:cs="Arial"/>
          <w:sz w:val="22"/>
        </w:rPr>
        <w:t>会报错。您可以通过我们的 AI 助手协助编写自定义指标，或者在论坛发帖咨询求助。</w:t>
      </w:r>
    </w:p>
    <w:p w14:paraId="7430B265">
      <w:pPr>
        <w:numPr>
          <w:ilvl w:val="0"/>
          <w:numId w:val="7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使用自定义指标</w:t>
      </w:r>
      <w:r>
        <w:rPr>
          <w:rFonts w:ascii="Arial" w:hAnsi="Arial" w:eastAsia="等线" w:cs="Arial"/>
          <w:sz w:val="22"/>
        </w:rPr>
        <w:t>：保存完成后，您就可以在策略的筛选条件、排名条件的因子选择列表中，找到您刚刚创建的自定义指标。它的使用方式、计算逻辑，和平台提供的公共因子完全相同，您可以像使用普通因子一样，将其加入到您的策略逻辑中。</w:t>
      </w:r>
    </w:p>
    <w:p w14:paraId="12356E91">
      <w:pPr>
        <w:spacing w:before="300" w:after="120" w:line="288" w:lineRule="auto"/>
        <w:ind w:left="0"/>
        <w:jc w:val="left"/>
        <w:outlineLvl w:val="2"/>
      </w:pPr>
      <w:bookmarkStart w:id="36" w:name="heading_37"/>
      <w:r>
        <w:rPr>
          <w:rFonts w:ascii="Arial" w:hAnsi="Arial" w:eastAsia="等线" w:cs="Arial"/>
          <w:b/>
          <w:sz w:val="30"/>
        </w:rPr>
        <w:t>3.3 市场择时：控制风险的关键利器</w:t>
      </w:r>
      <w:bookmarkEnd w:id="36"/>
    </w:p>
    <w:p w14:paraId="110F3C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选股解决的是 "买什么股票" 的问题，而择时解决的是 "什么时候买、买多少" 的问题。这是量化策略中另一个至关重要的核心环节 —— 如果说选股决定了策略的长期盈利能力，那么择时则决定了策略的长期风险稳定性。</w:t>
      </w:r>
    </w:p>
    <w:p w14:paraId="7D7C5BD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市场择时的本质，是通过对大盘趋势的量化判断，动态调整策略的整体股票仓位，甚至可以完全空仓，规避市场出现系统性风险时的大幅下行波动 —— 这是提高策略风险收益比的最有效手段之一。</w:t>
      </w:r>
    </w:p>
    <w:p w14:paraId="22BDED2A">
      <w:pPr>
        <w:spacing w:before="260" w:after="120" w:line="288" w:lineRule="auto"/>
        <w:ind w:left="0"/>
        <w:jc w:val="left"/>
        <w:outlineLvl w:val="3"/>
      </w:pPr>
      <w:bookmarkStart w:id="37" w:name="heading_38"/>
      <w:r>
        <w:rPr>
          <w:rFonts w:ascii="Arial" w:hAnsi="Arial" w:eastAsia="等线" w:cs="Arial"/>
          <w:b/>
          <w:sz w:val="28"/>
        </w:rPr>
        <w:t>3.3.1 择时的基本逻辑</w:t>
      </w:r>
      <w:bookmarkEnd w:id="37"/>
    </w:p>
    <w:p w14:paraId="28BFE1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个股的走势，长期来看由公司的基本面决定，但短期的表现，很大程度上受到大盘整体趋势的影响 —— 如果大盘整体处于熊市下跌通道中，再好的选股逻辑，也很难选出能逆势上涨的股票。甚至可以说，在大盘趋势不好时，及时降低仓位、规避系统性风险，比选出 "好股票" 更重要。</w:t>
      </w:r>
    </w:p>
    <w:p w14:paraId="02C57D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择时的核心逻辑就是：用大盘指标来判断市场的整体趋势，用个股指标来筛选具体的标的，通过两者的配合，在市场趋势向好时，让策略获取足够的收益；在市场趋势走坏时，让策略减少暴露在市场中的风险敞口，从而控制最大回撤，提高策略的长期稳定性。</w:t>
      </w:r>
    </w:p>
    <w:p w14:paraId="24D461BE">
      <w:pPr>
        <w:spacing w:before="260" w:after="120" w:line="288" w:lineRule="auto"/>
        <w:ind w:left="0"/>
        <w:jc w:val="left"/>
        <w:outlineLvl w:val="3"/>
      </w:pPr>
      <w:bookmarkStart w:id="38" w:name="heading_39"/>
      <w:r>
        <w:rPr>
          <w:rFonts w:ascii="Arial" w:hAnsi="Arial" w:eastAsia="等线" w:cs="Arial"/>
          <w:b/>
          <w:sz w:val="28"/>
        </w:rPr>
        <w:t>3.3.2 如何设置择时条件</w:t>
      </w:r>
      <w:bookmarkEnd w:id="38"/>
    </w:p>
    <w:p w14:paraId="5EDA5C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果仁网为用户提供了专门的「大盘择时」配置模块，您可以在这里轻松为策略添加专业的择时逻辑，不需要额外的复杂设置。设置择时条件的核心步骤为：</w:t>
      </w:r>
    </w:p>
    <w:p w14:paraId="429C4B73">
      <w:pPr>
        <w:numPr>
          <w:ilvl w:val="0"/>
          <w:numId w:val="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进入择时配置页面</w:t>
      </w:r>
      <w:r>
        <w:rPr>
          <w:rFonts w:ascii="Arial" w:hAnsi="Arial" w:eastAsia="等线" w:cs="Arial"/>
          <w:sz w:val="22"/>
        </w:rPr>
        <w:t>：在策略配置页顶部菜单栏中，点击「大盘择时」选项，进入择时规则配置页。</w:t>
      </w:r>
    </w:p>
    <w:p w14:paraId="0AD772BB">
      <w:pPr>
        <w:numPr>
          <w:ilvl w:val="0"/>
          <w:numId w:val="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模板择时</w:t>
      </w:r>
      <w:r>
        <w:rPr>
          <w:rFonts w:ascii="Arial" w:hAnsi="Arial" w:eastAsia="等线" w:cs="Arial"/>
          <w:sz w:val="22"/>
        </w:rPr>
        <w:t>：在择时模板栏目下，我们提供了 MA，EMA，MACD 等常用的择时指标，用户可以直接点击添加条件并修改择时条件的参数。该模块支持多个择时条件同时使用，比如您可以同时设置 MA 金叉死叉以及市场 PE 高低估的择时条件。</w:t>
      </w:r>
    </w:p>
    <w:p w14:paraId="59DFE97C">
      <w:pPr>
        <w:numPr>
          <w:ilvl w:val="0"/>
          <w:numId w:val="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自定义择时公式</w:t>
      </w:r>
      <w:r>
        <w:rPr>
          <w:rFonts w:ascii="Arial" w:hAnsi="Arial" w:eastAsia="等线" w:cs="Arial"/>
          <w:sz w:val="22"/>
        </w:rPr>
        <w:t>：如果模板无法满足您的择时需要，您可以通过自定义择时公式实现您的想法。自定义择时的语法要求与自定义函数一致。仓位公式在调仓前日的返回值决定策略在调仓日的持股仓位。公式的返回值可以是 0 到 1 之间的任一数值，0 表示 0% 仓位，1 表示 100% 仓位，0.85 则表示 85% 仓位。如果公式返回值小于 0，策略仓位设为 0%，如果返回值大于 1，策略仓位设为 100%。</w:t>
      </w:r>
    </w:p>
    <w:p w14:paraId="1379253A">
      <w:pPr>
        <w:spacing w:before="300" w:after="120" w:line="288" w:lineRule="auto"/>
        <w:ind w:left="0"/>
        <w:jc w:val="left"/>
        <w:outlineLvl w:val="2"/>
      </w:pPr>
      <w:bookmarkStart w:id="39" w:name="heading_40"/>
      <w:r>
        <w:rPr>
          <w:rFonts w:ascii="Arial" w:hAnsi="Arial" w:eastAsia="等线" w:cs="Arial"/>
          <w:b/>
          <w:sz w:val="30"/>
        </w:rPr>
        <w:t>3.4 选股指标详解</w:t>
      </w:r>
      <w:bookmarkEnd w:id="39"/>
    </w:p>
    <w:p w14:paraId="4C6C82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果仁网提供了丰富的选股指标，覆盖行情、技术、财务、公司、情绪等多个维度。以下是</w:t>
      </w:r>
      <w:r>
        <w:rPr>
          <w:rFonts w:hint="eastAsia" w:ascii="Arial" w:hAnsi="Arial" w:eastAsia="等线" w:cs="Arial"/>
          <w:sz w:val="22"/>
          <w:lang w:val="en-US" w:eastAsia="zh-CN"/>
        </w:rPr>
        <w:t>相关</w:t>
      </w:r>
      <w:r>
        <w:rPr>
          <w:rFonts w:ascii="Arial" w:hAnsi="Arial" w:eastAsia="等线" w:cs="Arial"/>
          <w:sz w:val="22"/>
        </w:rPr>
        <w:t>指标的详细说明：</w:t>
      </w:r>
    </w:p>
    <w:p w14:paraId="66D9EDBD">
      <w:pPr>
        <w:spacing w:before="260" w:after="120" w:line="288" w:lineRule="auto"/>
        <w:ind w:left="0"/>
        <w:jc w:val="left"/>
        <w:outlineLvl w:val="3"/>
      </w:pPr>
      <w:bookmarkStart w:id="40" w:name="heading_41"/>
      <w:r>
        <w:rPr>
          <w:rFonts w:ascii="Arial" w:hAnsi="Arial" w:eastAsia="等线" w:cs="Arial"/>
          <w:b/>
          <w:sz w:val="28"/>
        </w:rPr>
        <w:t>3.4.1 行情指标</w:t>
      </w:r>
      <w:bookmarkEnd w:id="40"/>
    </w:p>
    <w:p w14:paraId="190866D9">
      <w:pPr>
        <w:numPr>
          <w:ilvl w:val="0"/>
          <w:numId w:val="7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开盘价 / 收盘价 / 最高价 / 最低价 / 前日收盘价</w:t>
      </w:r>
      <w:r>
        <w:rPr>
          <w:rFonts w:ascii="Arial" w:hAnsi="Arial" w:eastAsia="等线" w:cs="Arial"/>
          <w:sz w:val="22"/>
        </w:rPr>
        <w:t>：股票在用户指定日期的价格。</w:t>
      </w:r>
    </w:p>
    <w:p w14:paraId="42F65D1A">
      <w:pPr>
        <w:numPr>
          <w:ilvl w:val="0"/>
          <w:numId w:val="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日均成交价</w:t>
      </w:r>
      <w:r>
        <w:rPr>
          <w:rFonts w:ascii="Arial" w:hAnsi="Arial" w:eastAsia="等线" w:cs="Arial"/>
          <w:sz w:val="22"/>
        </w:rPr>
        <w:t>：当日股票平均成交价格，等于当日成交额除以当日成交量。</w:t>
      </w:r>
    </w:p>
    <w:p w14:paraId="3D3EE577">
      <w:pPr>
        <w:numPr>
          <w:ilvl w:val="0"/>
          <w:numId w:val="8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后复权收盘价</w:t>
      </w:r>
      <w:r>
        <w:rPr>
          <w:rFonts w:ascii="Arial" w:hAnsi="Arial" w:eastAsia="等线" w:cs="Arial"/>
          <w:sz w:val="22"/>
        </w:rPr>
        <w:t>：股票当日收盘价的向后复权价格。算进股票分红、拆股的因素，方便比较股票的价格历史和计算股票在历史上的真实收益。</w:t>
      </w:r>
    </w:p>
    <w:p w14:paraId="49EF7575">
      <w:pPr>
        <w:numPr>
          <w:ilvl w:val="0"/>
          <w:numId w:val="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后复权均价</w:t>
      </w:r>
      <w:r>
        <w:rPr>
          <w:rFonts w:ascii="Arial" w:hAnsi="Arial" w:eastAsia="等线" w:cs="Arial"/>
          <w:sz w:val="22"/>
        </w:rPr>
        <w:t>：股票 5 日 / 20 日 / 60 日 / 120 日 / 250 日的后复权收盘价平均值。股票的停牌日不计算在内。当股票非停牌交易日数少于 N 时，N 日后复权平均价为空值。</w:t>
      </w:r>
    </w:p>
    <w:p w14:paraId="0DE302D5">
      <w:pPr>
        <w:numPr>
          <w:ilvl w:val="0"/>
          <w:numId w:val="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成交金额</w:t>
      </w:r>
      <w:r>
        <w:rPr>
          <w:rFonts w:ascii="Arial" w:hAnsi="Arial" w:eastAsia="等线" w:cs="Arial"/>
          <w:sz w:val="22"/>
        </w:rPr>
        <w:t>：股票当日成交额。5 日 / 20 日 / 60 日 / 120 日 / 250 日平均成交额。N 日平均成交额，股票的停牌日不计算在内。股票非停牌交易日数少于 N 时，N 日平均成交额为空值。</w:t>
      </w:r>
    </w:p>
    <w:p w14:paraId="3DADA84E">
      <w:pPr>
        <w:numPr>
          <w:ilvl w:val="0"/>
          <w:numId w:val="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成交量</w:t>
      </w:r>
      <w:r>
        <w:rPr>
          <w:rFonts w:ascii="Arial" w:hAnsi="Arial" w:eastAsia="等线" w:cs="Arial"/>
          <w:sz w:val="22"/>
        </w:rPr>
        <w:t>：股票当日成交量。5 日 / 20 日 / 60 日 / 120 日 / 250 日平均成交量。N 日平均成交量，股票的停牌日不计算在内。股票非停牌交易日数少于 N 时，N 日平均成交量为空值。</w:t>
      </w:r>
    </w:p>
    <w:p w14:paraId="531AB8DC">
      <w:pPr>
        <w:numPr>
          <w:ilvl w:val="0"/>
          <w:numId w:val="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股价涨幅</w:t>
      </w:r>
      <w:r>
        <w:rPr>
          <w:rFonts w:ascii="Arial" w:hAnsi="Arial" w:eastAsia="等线" w:cs="Arial"/>
          <w:sz w:val="22"/>
        </w:rPr>
        <w:t>：股票 1 日 / 5 日 / 20 日 / 60 日 / 120 日 / 250 日的累计涨跌幅。N 日累计涨跌幅，股票的停牌日计算在内。股票交易日数少于 N 时，N 日涨幅为空值。</w:t>
      </w:r>
    </w:p>
    <w:p w14:paraId="52C835D4">
      <w:pPr>
        <w:numPr>
          <w:ilvl w:val="0"/>
          <w:numId w:val="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股价相对涨幅</w:t>
      </w:r>
      <w:r>
        <w:rPr>
          <w:rFonts w:ascii="Arial" w:hAnsi="Arial" w:eastAsia="等线" w:cs="Arial"/>
          <w:sz w:val="22"/>
        </w:rPr>
        <w:t>：股票 1 日 / 5 日 / 20 日 / 60 日 / 120 日 / 250 日的相对于上证指数的累计涨跌幅。N 日股价相对涨幅，股票的停牌日计算在内。股票交易日数少于 N 时，N 日相对涨幅为空值。</w:t>
      </w:r>
    </w:p>
    <w:p w14:paraId="37FE7271">
      <w:pPr>
        <w:numPr>
          <w:ilvl w:val="0"/>
          <w:numId w:val="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累计换手率</w:t>
      </w:r>
      <w:r>
        <w:rPr>
          <w:rFonts w:ascii="Arial" w:hAnsi="Arial" w:eastAsia="等线" w:cs="Arial"/>
          <w:sz w:val="22"/>
        </w:rPr>
        <w:t>：股票当日 / 5 日 / 20 日 / 60 日 / 120 日 / 250 日的累计换手率。等于成交股数除以总股本。N 日累计换手率，股票的停牌日计算在内。股票交易日数少于 N 时，N 日累计换手率为空值。</w:t>
      </w:r>
    </w:p>
    <w:p w14:paraId="55AF507A">
      <w:pPr>
        <w:numPr>
          <w:ilvl w:val="0"/>
          <w:numId w:val="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涨跌停标记</w:t>
      </w:r>
      <w:r>
        <w:rPr>
          <w:rFonts w:ascii="Arial" w:hAnsi="Arial" w:eastAsia="等线" w:cs="Arial"/>
          <w:sz w:val="22"/>
        </w:rPr>
        <w:t>：股票当日涨停，跌停，一字涨停，一字跌停标记。事件发生为 1，未发生为 0。</w:t>
      </w:r>
    </w:p>
    <w:p w14:paraId="0E951B41">
      <w:pPr>
        <w:numPr>
          <w:ilvl w:val="0"/>
          <w:numId w:val="8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总股本 / 流通股本</w:t>
      </w:r>
      <w:r>
        <w:rPr>
          <w:rFonts w:ascii="Arial" w:hAnsi="Arial" w:eastAsia="等线" w:cs="Arial"/>
          <w:sz w:val="22"/>
        </w:rPr>
        <w:t>：A 股当日总股数或总流通股数</w:t>
      </w:r>
    </w:p>
    <w:p w14:paraId="51B9DCB5">
      <w:pPr>
        <w:numPr>
          <w:ilvl w:val="0"/>
          <w:numId w:val="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总市值 / 流通市值</w:t>
      </w:r>
      <w:r>
        <w:rPr>
          <w:rFonts w:ascii="Arial" w:hAnsi="Arial" w:eastAsia="等线" w:cs="Arial"/>
          <w:sz w:val="22"/>
        </w:rPr>
        <w:t>：A 股当日总市值或总流通市值</w:t>
      </w:r>
    </w:p>
    <w:p w14:paraId="3D5D6AF8">
      <w:pPr>
        <w:numPr>
          <w:ilvl w:val="0"/>
          <w:numId w:val="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股东数</w:t>
      </w:r>
      <w:r>
        <w:rPr>
          <w:rFonts w:ascii="Arial" w:hAnsi="Arial" w:eastAsia="等线" w:cs="Arial"/>
          <w:sz w:val="22"/>
        </w:rPr>
        <w:t>：最近公告中持有 A 股的股东户总数</w:t>
      </w:r>
    </w:p>
    <w:p w14:paraId="65A72B1F">
      <w:pPr>
        <w:numPr>
          <w:ilvl w:val="0"/>
          <w:numId w:val="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户均持股数</w:t>
      </w:r>
      <w:r>
        <w:rPr>
          <w:rFonts w:ascii="Arial" w:hAnsi="Arial" w:eastAsia="等线" w:cs="Arial"/>
          <w:sz w:val="22"/>
        </w:rPr>
        <w:t>：等于总股本除以股东数</w:t>
      </w:r>
    </w:p>
    <w:p w14:paraId="5B06159C">
      <w:pPr>
        <w:numPr>
          <w:ilvl w:val="0"/>
          <w:numId w:val="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股东数 60 日变化率</w:t>
      </w:r>
      <w:r>
        <w:rPr>
          <w:rFonts w:ascii="Arial" w:hAnsi="Arial" w:eastAsia="等线" w:cs="Arial"/>
          <w:sz w:val="22"/>
        </w:rPr>
        <w:t>：股东总数当日和 60 个交易日前相比的变化率。</w:t>
      </w:r>
    </w:p>
    <w:p w14:paraId="7C77E51F">
      <w:pPr>
        <w:numPr>
          <w:ilvl w:val="0"/>
          <w:numId w:val="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户均持股数 60 日变化率</w:t>
      </w:r>
      <w:r>
        <w:rPr>
          <w:rFonts w:ascii="Arial" w:hAnsi="Arial" w:eastAsia="等线" w:cs="Arial"/>
          <w:sz w:val="22"/>
        </w:rPr>
        <w:t>：户均持股当日和 60 个交易日前相比的变化率。</w:t>
      </w:r>
    </w:p>
    <w:p w14:paraId="273212F1">
      <w:pPr>
        <w:numPr>
          <w:ilvl w:val="0"/>
          <w:numId w:val="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机构持股比例</w:t>
      </w:r>
      <w:r>
        <w:rPr>
          <w:rFonts w:ascii="Arial" w:hAnsi="Arial" w:eastAsia="等线" w:cs="Arial"/>
          <w:sz w:val="22"/>
        </w:rPr>
        <w:t>：机构最近一季度的持股比例。</w:t>
      </w:r>
    </w:p>
    <w:p w14:paraId="45239B5D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机构持股环比增长</w:t>
      </w:r>
      <w:r>
        <w:rPr>
          <w:rFonts w:ascii="Arial" w:hAnsi="Arial" w:eastAsia="等线" w:cs="Arial"/>
          <w:sz w:val="22"/>
        </w:rPr>
        <w:t>：机构持股比例最近一季度比上一季度的增长率。</w:t>
      </w:r>
    </w:p>
    <w:p w14:paraId="474BD499">
      <w:pPr>
        <w:numPr>
          <w:ilvl w:val="0"/>
          <w:numId w:val="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10 大股东持股比例</w:t>
      </w:r>
      <w:r>
        <w:rPr>
          <w:rFonts w:ascii="Arial" w:hAnsi="Arial" w:eastAsia="等线" w:cs="Arial"/>
          <w:sz w:val="22"/>
        </w:rPr>
        <w:t>：股票前十大股东最近一季度的持股比例。</w:t>
      </w:r>
    </w:p>
    <w:p w14:paraId="46C5933C">
      <w:pPr>
        <w:numPr>
          <w:ilvl w:val="0"/>
          <w:numId w:val="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10 大股东持股环比增长</w:t>
      </w:r>
      <w:r>
        <w:rPr>
          <w:rFonts w:ascii="Arial" w:hAnsi="Arial" w:eastAsia="等线" w:cs="Arial"/>
          <w:sz w:val="22"/>
        </w:rPr>
        <w:t>：股票前十大股东持股比例最近一季度比上一季度的增长率。</w:t>
      </w:r>
    </w:p>
    <w:p w14:paraId="3CF0AFD7">
      <w:pPr>
        <w:numPr>
          <w:ilvl w:val="0"/>
          <w:numId w:val="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股价振幅</w:t>
      </w:r>
      <w:r>
        <w:rPr>
          <w:rFonts w:ascii="Arial" w:hAnsi="Arial" w:eastAsia="等线" w:cs="Arial"/>
          <w:sz w:val="22"/>
        </w:rPr>
        <w:t>：股票当日最高价最低价之差除以前日收盘价。</w:t>
      </w:r>
    </w:p>
    <w:p w14:paraId="1B32BDE1">
      <w:pPr>
        <w:numPr>
          <w:ilvl w:val="0"/>
          <w:numId w:val="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上市天数</w:t>
      </w:r>
      <w:r>
        <w:rPr>
          <w:rFonts w:ascii="Arial" w:hAnsi="Arial" w:eastAsia="等线" w:cs="Arial"/>
          <w:sz w:val="22"/>
        </w:rPr>
        <w:t>：股票当日的总上市天数。上市天数按照自然日计算。</w:t>
      </w:r>
    </w:p>
    <w:p w14:paraId="77AF32F8">
      <w:pPr>
        <w:numPr>
          <w:ilvl w:val="0"/>
          <w:numId w:val="1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交易天数</w:t>
      </w:r>
      <w:r>
        <w:rPr>
          <w:rFonts w:ascii="Arial" w:hAnsi="Arial" w:eastAsia="等线" w:cs="Arial"/>
          <w:sz w:val="22"/>
        </w:rPr>
        <w:t>：股票当日的总上市交易日数。</w:t>
      </w:r>
    </w:p>
    <w:p w14:paraId="227171C2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乖离率</w:t>
      </w:r>
      <w:r>
        <w:rPr>
          <w:rFonts w:ascii="Arial" w:hAnsi="Arial" w:eastAsia="等线" w:cs="Arial"/>
          <w:sz w:val="22"/>
        </w:rPr>
        <w:t>：股票当日的收盘价与 5 日 / 20 日 / 60 日 / 120 日 / 250 日均线之间的差距。等于后复权收盘价除以 N 日复权均价 - 1。</w:t>
      </w:r>
    </w:p>
    <w:p w14:paraId="38B4B718">
      <w:pPr>
        <w:numPr>
          <w:ilvl w:val="0"/>
          <w:numId w:val="1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波动率</w:t>
      </w:r>
      <w:r>
        <w:rPr>
          <w:rFonts w:ascii="Arial" w:hAnsi="Arial" w:eastAsia="等线" w:cs="Arial"/>
          <w:sz w:val="22"/>
        </w:rPr>
        <w:t>：股票 20 日 / 60 日 / 120 日 / 250 日收益波动率。停牌日不算入交易日内。等于 stdev (1 日涨幅，N 日) × sqrt (N 日)。</w:t>
      </w:r>
    </w:p>
    <w:p w14:paraId="1127CC6A">
      <w:pPr>
        <w:spacing w:before="260" w:after="120" w:line="288" w:lineRule="auto"/>
        <w:ind w:left="0"/>
        <w:jc w:val="left"/>
        <w:outlineLvl w:val="3"/>
      </w:pPr>
      <w:bookmarkStart w:id="41" w:name="heading_42"/>
      <w:r>
        <w:rPr>
          <w:rFonts w:ascii="Arial" w:hAnsi="Arial" w:eastAsia="等线" w:cs="Arial"/>
          <w:b/>
          <w:sz w:val="28"/>
        </w:rPr>
        <w:t>3.4.2 技术指标</w:t>
      </w:r>
      <w:bookmarkEnd w:id="41"/>
    </w:p>
    <w:p w14:paraId="19521B16">
      <w:pPr>
        <w:numPr>
          <w:ilvl w:val="0"/>
          <w:numId w:val="1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MACD</w:t>
      </w:r>
      <w:r>
        <w:rPr>
          <w:rFonts w:ascii="Arial" w:hAnsi="Arial" w:eastAsia="等线" w:cs="Arial"/>
          <w:sz w:val="22"/>
        </w:rPr>
        <w:t>：根据个股的后复权收盘价计算出来的 MACD (12, 26, 9)。MACD_DIFF = ema (后复权收盘价，12) - ema (后复权收盘价，26)。MACD_DEA = ema (MACD_DIF, 9)。MACD 柱状值 = 2 × (MACD_DIFF - MACD_DEA)。</w:t>
      </w:r>
    </w:p>
    <w:p w14:paraId="5CB9F95E">
      <w:pPr>
        <w:numPr>
          <w:ilvl w:val="0"/>
          <w:numId w:val="10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RSI</w:t>
      </w:r>
      <w:r>
        <w:rPr>
          <w:rFonts w:ascii="Arial" w:hAnsi="Arial" w:eastAsia="等线" w:cs="Arial"/>
          <w:sz w:val="22"/>
        </w:rPr>
        <w:t>：代表股票在过去 14 个交易日的相对强弱情况。股票的停牌日不计算在内。值域在 0 到 100 之间。值越大表示股票最近表现越强势。RSI = SMA (greater (1 日涨幅，0) × 后复权因子，14, 1) / SMA (ABS (1 日涨幅) × 后复权因子，14, 1) × 100。</w:t>
      </w:r>
    </w:p>
    <w:p w14:paraId="4FA52AC4">
      <w:pPr>
        <w:numPr>
          <w:ilvl w:val="0"/>
          <w:numId w:val="10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BBIC</w:t>
      </w:r>
      <w:r>
        <w:rPr>
          <w:rFonts w:ascii="Arial" w:hAnsi="Arial" w:eastAsia="等线" w:cs="Arial"/>
          <w:sz w:val="22"/>
        </w:rPr>
        <w:t>：多空指标，等于 BBI 除以收盘价，BBIC 越小股价越强势，BBIC &lt;1 为多头行情，BBIC&gt; 1 为空头行情。BBI 等于 (3 日均价 + 6 日均价 + 12 日均价 + 24 日均价) / 4。计算使用后复权收盘价。</w:t>
      </w:r>
    </w:p>
    <w:p w14:paraId="55A0C622">
      <w:pPr>
        <w:numPr>
          <w:ilvl w:val="0"/>
          <w:numId w:val="10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CCI</w:t>
      </w:r>
      <w:r>
        <w:rPr>
          <w:rFonts w:ascii="Arial" w:hAnsi="Arial" w:eastAsia="等线" w:cs="Arial"/>
          <w:sz w:val="22"/>
        </w:rPr>
        <w:t>：14 日顺势指标，测量股价是否已超出常态分布范围。+100 以上为超买区，-100 以下为超卖区，+100 到 -100 之间为震荡区。</w:t>
      </w:r>
    </w:p>
    <w:p w14:paraId="5C2F1EED">
      <w:pPr>
        <w:numPr>
          <w:ilvl w:val="0"/>
          <w:numId w:val="10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历史贝塔</w:t>
      </w:r>
      <w:r>
        <w:rPr>
          <w:rFonts w:ascii="Arial" w:hAnsi="Arial" w:eastAsia="等线" w:cs="Arial"/>
          <w:sz w:val="22"/>
        </w:rPr>
        <w:t>：代表过去 250 个交易日的股价波动和沪深 300 波动相关程度。历史贝塔 &gt; 1 表明个股价格波动幅度大于大盘的波动幅度，股价波动受到大盘的影响大；历史贝塔 &lt; 1 表明个股的价格波动受到大盘波动的影响较小。股票上市交易少于 250 日时，历史贝塔是空值。</w:t>
      </w:r>
    </w:p>
    <w:p w14:paraId="78C2ADC4">
      <w:pPr>
        <w:numPr>
          <w:ilvl w:val="0"/>
          <w:numId w:val="10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多头排列标记</w:t>
      </w:r>
      <w:r>
        <w:rPr>
          <w:rFonts w:ascii="Arial" w:hAnsi="Arial" w:eastAsia="等线" w:cs="Arial"/>
          <w:sz w:val="22"/>
        </w:rPr>
        <w:t>：标记为 1，表示 5 日均线、20 日均线、60 日均线、120 日均线依次排列，短线在长线的上方，股价呈上升趋势。</w:t>
      </w:r>
    </w:p>
    <w:p w14:paraId="5E3C55C6">
      <w:pPr>
        <w:numPr>
          <w:ilvl w:val="0"/>
          <w:numId w:val="10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1 日 5 日量比</w:t>
      </w:r>
      <w:r>
        <w:rPr>
          <w:rFonts w:ascii="Arial" w:hAnsi="Arial" w:eastAsia="等线" w:cs="Arial"/>
          <w:sz w:val="22"/>
        </w:rPr>
        <w:t>：当日成交量与 5 日平均成交量比值。</w:t>
      </w:r>
    </w:p>
    <w:p w14:paraId="4AD229B8">
      <w:pPr>
        <w:numPr>
          <w:ilvl w:val="0"/>
          <w:numId w:val="1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布林线</w:t>
      </w:r>
      <w:r>
        <w:rPr>
          <w:rFonts w:ascii="Arial" w:hAnsi="Arial" w:eastAsia="等线" w:cs="Arial"/>
          <w:sz w:val="22"/>
        </w:rPr>
        <w:t>：布林线上线等于 20 日复权均价 + 2 × stdev (后复权收盘价，20)，布林线下线等于 20 日复权均价 - 2 × stdev (后复权收盘价，20)。</w:t>
      </w:r>
    </w:p>
    <w:p w14:paraId="7CA6BA0A">
      <w:pPr>
        <w:numPr>
          <w:ilvl w:val="0"/>
          <w:numId w:val="1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ATR</w:t>
      </w:r>
      <w:r>
        <w:rPr>
          <w:rFonts w:ascii="Arial" w:hAnsi="Arial" w:eastAsia="等线" w:cs="Arial"/>
          <w:sz w:val="22"/>
        </w:rPr>
        <w:t>：平均真实波动范围 (Average True Range)。真实波幅等于当日股价振幅、最高与昨收差价、最低与昨收差价中的最大值。ATR = 真实波幅的 14 日移动平均。</w:t>
      </w:r>
    </w:p>
    <w:p w14:paraId="53EDD1F4">
      <w:pPr>
        <w:spacing w:before="260" w:after="120" w:line="288" w:lineRule="auto"/>
        <w:ind w:left="0"/>
        <w:jc w:val="left"/>
        <w:outlineLvl w:val="3"/>
      </w:pPr>
      <w:bookmarkStart w:id="42" w:name="heading_43"/>
      <w:r>
        <w:rPr>
          <w:rFonts w:ascii="Arial" w:hAnsi="Arial" w:eastAsia="等线" w:cs="Arial"/>
          <w:b/>
          <w:sz w:val="28"/>
        </w:rPr>
        <w:t>3.4.3 季报项目</w:t>
      </w:r>
      <w:bookmarkEnd w:id="42"/>
    </w:p>
    <w:p w14:paraId="3E2B4C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注：果仁原始财报指标数据都以单个季度为单元，如需要获取年内累计数据可或者年报数据，可以分别使用函数 AccuQ 和 Annual。函数使用详情见自定义函数列表。</w:t>
      </w:r>
    </w:p>
    <w:p w14:paraId="3F1DFC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利润表项目：</w:t>
      </w:r>
    </w:p>
    <w:p w14:paraId="137CC163">
      <w:pPr>
        <w:numPr>
          <w:ilvl w:val="0"/>
          <w:numId w:val="1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 营业收入</w:t>
      </w:r>
      <w:r>
        <w:rPr>
          <w:rFonts w:ascii="Arial" w:hAnsi="Arial" w:eastAsia="等线" w:cs="Arial"/>
          <w:sz w:val="22"/>
        </w:rPr>
        <w:t>：营业总收入、营业收入、利息净收入、利息收入、利息支出、手续费及佣金净收入、已赚保费、保险业务收入、其他营业收入</w:t>
      </w:r>
    </w:p>
    <w:p w14:paraId="67A09C71">
      <w:pPr>
        <w:numPr>
          <w:ilvl w:val="0"/>
          <w:numId w:val="1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 营业支出</w:t>
      </w:r>
      <w:r>
        <w:rPr>
          <w:rFonts w:ascii="Arial" w:hAnsi="Arial" w:eastAsia="等线" w:cs="Arial"/>
          <w:sz w:val="22"/>
        </w:rPr>
        <w:t>：营业总成本、营业成本、营业支出、销售费用、管理费用、财务费用、资产减值损失、退保金、赔付支出、业务及管理费、营业税金及附加</w:t>
      </w:r>
    </w:p>
    <w:p w14:paraId="6E6130E4">
      <w:pPr>
        <w:numPr>
          <w:ilvl w:val="0"/>
          <w:numId w:val="1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C 收益利润</w:t>
      </w:r>
      <w:r>
        <w:rPr>
          <w:rFonts w:ascii="Arial" w:hAnsi="Arial" w:eastAsia="等线" w:cs="Arial"/>
          <w:sz w:val="22"/>
        </w:rPr>
        <w:t>：营业利润、利润总额、净利润、归属于母公司所有者的净利润、非经营性净收益、公允价值变动净收益、投资净收益、营业外收入、营业外支出、所得税费用、少数股东损益、基本每股收益、稀释每股收益</w:t>
      </w:r>
    </w:p>
    <w:p w14:paraId="6BC770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负债资产表项目：</w:t>
      </w:r>
    </w:p>
    <w:p w14:paraId="2C512DA2">
      <w:pPr>
        <w:numPr>
          <w:ilvl w:val="0"/>
          <w:numId w:val="1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D 资产</w:t>
      </w:r>
      <w:r>
        <w:rPr>
          <w:rFonts w:ascii="Arial" w:hAnsi="Arial" w:eastAsia="等线" w:cs="Arial"/>
          <w:sz w:val="22"/>
        </w:rPr>
        <w:t>：资产总计、流动资产合计、非流动资产合计、货币资金、交易性金融资产、应收票据、应收账款、预付款项、存货、可供出售金融资产、持有至到期投资、长期股权投资、固定资产、无形资产、商誉</w:t>
      </w:r>
    </w:p>
    <w:p w14:paraId="2DD2E807">
      <w:pPr>
        <w:numPr>
          <w:ilvl w:val="0"/>
          <w:numId w:val="1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E 金融类资产</w:t>
      </w:r>
      <w:r>
        <w:rPr>
          <w:rFonts w:ascii="Arial" w:hAnsi="Arial" w:eastAsia="等线" w:cs="Arial"/>
          <w:sz w:val="22"/>
        </w:rPr>
        <w:t>：结算备付金、存放同业款项、贵金属、拆出资金、衍生金融资产、买入返售金融资产、发放贷款和垫款</w:t>
      </w:r>
    </w:p>
    <w:p w14:paraId="771D7A74">
      <w:pPr>
        <w:numPr>
          <w:ilvl w:val="0"/>
          <w:numId w:val="1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 负债</w:t>
      </w:r>
      <w:r>
        <w:rPr>
          <w:rFonts w:ascii="Arial" w:hAnsi="Arial" w:eastAsia="等线" w:cs="Arial"/>
          <w:sz w:val="22"/>
        </w:rPr>
        <w:t>：负债合计、流动负债合计、非流动负债合计、短期借款、应付票据、应付账款、预收款项、应付职工薪酬、应交税费、长期借款、应付债券</w:t>
      </w:r>
    </w:p>
    <w:p w14:paraId="420FFD6D">
      <w:pPr>
        <w:numPr>
          <w:ilvl w:val="0"/>
          <w:numId w:val="1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G 金融类负债</w:t>
      </w:r>
      <w:r>
        <w:rPr>
          <w:rFonts w:ascii="Arial" w:hAnsi="Arial" w:eastAsia="等线" w:cs="Arial"/>
          <w:sz w:val="22"/>
        </w:rPr>
        <w:t>：向中央银行借款、同业及其他金融机构存放款项、拆入资金、吸收存款、代理买卖证券款</w:t>
      </w:r>
    </w:p>
    <w:p w14:paraId="7F963944">
      <w:pPr>
        <w:numPr>
          <w:ilvl w:val="0"/>
          <w:numId w:val="1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H 权益</w:t>
      </w:r>
      <w:r>
        <w:rPr>
          <w:rFonts w:ascii="Arial" w:hAnsi="Arial" w:eastAsia="等线" w:cs="Arial"/>
          <w:sz w:val="22"/>
        </w:rPr>
        <w:t>：归属母公司股东权益合计、所有者权益合计、资本公积、盈余公积、未分配利润、少数股东权益</w:t>
      </w:r>
    </w:p>
    <w:p w14:paraId="484A96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现金流表项目：</w:t>
      </w:r>
    </w:p>
    <w:p w14:paraId="0C8A54AD">
      <w:pPr>
        <w:numPr>
          <w:ilvl w:val="0"/>
          <w:numId w:val="1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 经营现金流</w:t>
      </w:r>
      <w:r>
        <w:rPr>
          <w:rFonts w:ascii="Arial" w:hAnsi="Arial" w:eastAsia="等线" w:cs="Arial"/>
          <w:sz w:val="22"/>
        </w:rPr>
        <w:t>：经营现金流量净额、销售商品提供劳务收到的现金、收到的税费返还、收到其他与经营活动有关的现金、购买商品接受劳务支付的现金、支付给职工以及为职工支付的现金、支付的各项税费</w:t>
      </w:r>
    </w:p>
    <w:p w14:paraId="1D0421F7">
      <w:pPr>
        <w:numPr>
          <w:ilvl w:val="0"/>
          <w:numId w:val="1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J 投资现金流</w:t>
      </w:r>
      <w:r>
        <w:rPr>
          <w:rFonts w:ascii="Arial" w:hAnsi="Arial" w:eastAsia="等线" w:cs="Arial"/>
          <w:sz w:val="22"/>
        </w:rPr>
        <w:t>：投资现金流量净额、收回投资收到的现金、取得投资收益收到的现金、处置固定资产等收回的现金净额、购建固定资产等支付的现金、投资支付的现金</w:t>
      </w:r>
    </w:p>
    <w:p w14:paraId="00EE630D">
      <w:pPr>
        <w:numPr>
          <w:ilvl w:val="0"/>
          <w:numId w:val="1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K 筹资现金流量</w:t>
      </w:r>
      <w:r>
        <w:rPr>
          <w:rFonts w:ascii="Arial" w:hAnsi="Arial" w:eastAsia="等线" w:cs="Arial"/>
          <w:sz w:val="22"/>
        </w:rPr>
        <w:t>：筹资现金流量净额、吸收投资收到的现金、发行债券收到的现金、取得借款收到的现金、偿还债务支付的现金、分配股利利润或偿付利息支付的现金</w:t>
      </w:r>
    </w:p>
    <w:p w14:paraId="5C11B543">
      <w:pPr>
        <w:numPr>
          <w:ilvl w:val="0"/>
          <w:numId w:val="1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L 现金流总结</w:t>
      </w:r>
      <w:r>
        <w:rPr>
          <w:rFonts w:ascii="Arial" w:hAnsi="Arial" w:eastAsia="等线" w:cs="Arial"/>
          <w:sz w:val="22"/>
        </w:rPr>
        <w:t>：现金及现金等价物净增加额、期末现金及现金等价物余额、资产减值准备、固定资产折旧、无形资产摊销</w:t>
      </w:r>
    </w:p>
    <w:p w14:paraId="2155CD26">
      <w:pPr>
        <w:spacing w:before="260" w:after="120" w:line="288" w:lineRule="auto"/>
        <w:ind w:left="0"/>
        <w:jc w:val="left"/>
        <w:outlineLvl w:val="3"/>
      </w:pPr>
      <w:bookmarkStart w:id="43" w:name="heading_44"/>
      <w:r>
        <w:rPr>
          <w:rFonts w:ascii="Arial" w:hAnsi="Arial" w:eastAsia="等线" w:cs="Arial"/>
          <w:b/>
          <w:sz w:val="28"/>
        </w:rPr>
        <w:t>3.4.4 财务指标</w:t>
      </w:r>
      <w:bookmarkEnd w:id="43"/>
    </w:p>
    <w:p w14:paraId="6926B57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估值类：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67C6D0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3C51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99EFB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450C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356A02A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6319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2164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 TTM (归属于母公司所有者的净利润，0)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3495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即 PE_TTM，等于总市值除以过去 12 个月的归属于母公司所有者的净利润</w:t>
            </w:r>
          </w:p>
        </w:tc>
      </w:tr>
      <w:tr w14:paraId="5D0E00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AB0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市净率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0911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 归属母公司股东权益合计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B8B5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即 PB，等于总市值除以归属母公司股东权益合计</w:t>
            </w:r>
          </w:p>
        </w:tc>
      </w:tr>
      <w:tr w14:paraId="78EF08F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4BF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市销率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46C1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 TTM (营业总收入，0)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D355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即 PS_TTM，等于总市值除以过去 12 个月的营业总收入</w:t>
            </w:r>
          </w:p>
        </w:tc>
      </w:tr>
      <w:tr w14:paraId="440022A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68BF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市现率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5F180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 TTM (经营现金流量净额，0)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AE3A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即 PCF_TTM，等于总市值除以过去 12 个月的经营现金流量净额</w:t>
            </w:r>
          </w:p>
        </w:tc>
      </w:tr>
      <w:tr w14:paraId="13FCF38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4CB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EV_EBITDA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67BD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(总市值 + 负债合计 - 货币资金) / (TTM (利润总额，0) + TTM (财务费用，0) + TTM (固定资产折旧，0) + TTM (无形资产摊销，0))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EABF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企业价值倍数</w:t>
            </w:r>
          </w:p>
        </w:tc>
      </w:tr>
      <w:tr w14:paraId="1005912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A28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股息率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99AE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上一年总现金分红 / 总市值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386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等于最近一年每股现金分红除以股票价格</w:t>
            </w:r>
          </w:p>
        </w:tc>
      </w:tr>
      <w:tr w14:paraId="64BDFC1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D52D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扣非市盈率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A06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 TTM (扣非净利润，0)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0C65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等于总市值除以过去 12 个月的扣非净利润</w:t>
            </w:r>
          </w:p>
        </w:tc>
      </w:tr>
      <w:tr w14:paraId="6049BBA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63F4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PEG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314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 / 归属于母公司所有者的净利润增长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1C0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市盈率相对盈利增长比率</w:t>
            </w:r>
          </w:p>
        </w:tc>
      </w:tr>
      <w:tr w14:paraId="5A4DEA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A955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静态市盈率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D3AB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/annual (归属于母公司所有者的净利润，0)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23B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等于总市值 / 最近年报的归属于母公司所有者的净利润</w:t>
            </w:r>
          </w:p>
        </w:tc>
      </w:tr>
      <w:tr w14:paraId="4417521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AF83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动态市盈率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8F2D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总市值 /if (Mod (当前季度 ID, 4) = 0, annual (归属于母公司所有者的净利润，0), accruQ (归属于母公司所有者的净利润，0) / Mod (当前季度 ID, 4) × 4)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930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等于总市值 / 归属于母公司所有者的净利润，净利润根据每期财报动态扩展到年报数据</w:t>
            </w:r>
          </w:p>
        </w:tc>
      </w:tr>
      <w:tr w14:paraId="1B5964A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200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EP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D769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(归属于母公司所有者的净利润，0) / 总市值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6B72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市盈率 TTM 的倒数</w:t>
            </w:r>
          </w:p>
        </w:tc>
      </w:tr>
      <w:tr w14:paraId="428516C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77D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BP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7965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归属母公司股东权益合计 / 总市值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789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市净率的倒数</w:t>
            </w:r>
          </w:p>
        </w:tc>
      </w:tr>
    </w:tbl>
    <w:p w14:paraId="61BAE6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偿债能力类：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2BB861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DD70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92CE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A9AB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585444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B87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流动比率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D193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流动资产合计 / 流动负债合计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9EE86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等于最近一季的流动资产合计除以流动负债合计</w:t>
            </w:r>
          </w:p>
        </w:tc>
      </w:tr>
      <w:tr w14:paraId="0D3D40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057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负债资产率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DCC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负债合计 / 资产总计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3875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等于最近一季的负债合计除以资产总计</w:t>
            </w:r>
          </w:p>
        </w:tc>
      </w:tr>
      <w:tr w14:paraId="269BDE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39BE9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产权比率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8418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负债合计 / 归属母公司股东权益合计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A23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等于最近一季的负债合计除以归属母公司股东权益合计</w:t>
            </w:r>
          </w:p>
        </w:tc>
      </w:tr>
      <w:tr w14:paraId="77900F8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10F8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账面杠杆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5CF0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非流动负债合计 / 归属母公司股东权益合计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DEA9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等于最近一季度的非流动负债合计 / 归属母公司股东权益合计</w:t>
            </w:r>
          </w:p>
        </w:tc>
      </w:tr>
      <w:tr w14:paraId="1C8680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8D4C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市场杠杆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9E86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非流动负债合计 / (非流动负债合计 + 总市值)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4E2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等于最近一季度的非流动负债合计 / (最近一季度的非流动负债合计 + 当日总市值)</w:t>
            </w:r>
          </w:p>
        </w:tc>
      </w:tr>
      <w:tr w14:paraId="01B8512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608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速动比率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7541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(流动资产合计 - 存货) / 流动负债合计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4BCC0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等于最近一季的（流动资产合计 - 存货）/ 流动负债合计</w:t>
            </w:r>
          </w:p>
        </w:tc>
      </w:tr>
      <w:tr w14:paraId="21D161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25DAB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超速动比率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DBEB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(货币资金 + 交易性金融资产 + 应收票据 + 应收帐款 + 其他应收款) / 流动负债合计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83BA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等于最近一季度的（货币资金 + 交易性金融资产 + 应收票据 + 应收帐款 + 其他应收款）/ 流动负债合计</w:t>
            </w:r>
          </w:p>
        </w:tc>
      </w:tr>
      <w:tr w14:paraId="5FA7C9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0430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利息保障倍数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EA4D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(利润总额 + 财务费用) / 财务费用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A419D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最近一季度的（利润总额 + 财务费用）/ 财务费用</w:t>
            </w:r>
          </w:p>
        </w:tc>
      </w:tr>
      <w:tr w14:paraId="335E5E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0C77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现金比率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8A9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(期末现金及现金等价物余额，0) / 流动负债合计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16B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 12 个月的期末现金及现金等价物余额 / 流动负债合计</w:t>
            </w:r>
          </w:p>
        </w:tc>
      </w:tr>
      <w:tr w14:paraId="4711B9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17DC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现金流动负债比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8A7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(经营现金流量净额，0) / 流动负债合计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370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 12 个月的经营现金流量净额 / 流动负债合计</w:t>
            </w:r>
          </w:p>
        </w:tc>
      </w:tr>
    </w:tbl>
    <w:p w14:paraId="18C18D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资本结构类：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4FE1BA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502C2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992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5366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5F3AB5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24D2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股东权益比率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8BB4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归属母公司股东权益合计 / 资产总计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F33C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等于最近一季度的归属母公司股东权益合计 / 资产总计</w:t>
            </w:r>
          </w:p>
        </w:tc>
      </w:tr>
      <w:tr w14:paraId="48AD31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DE6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固定资产比率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1B1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(固定资产 + 工程物资 + 在建工程) / 资产总计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3CA7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 (固定资产 + 工程物资 + 在建工程) / 资产总计</w:t>
            </w:r>
          </w:p>
        </w:tc>
      </w:tr>
      <w:tr w14:paraId="3534C01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3D4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无形资产比率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706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(无形资产 + 开发支出 + 商誉) / 资产总计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4D45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 (无形资产 + 开发支出 + 商誉) / 资产总计</w:t>
            </w:r>
          </w:p>
        </w:tc>
      </w:tr>
      <w:tr w14:paraId="379DBD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3274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非流动资产比率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74C0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非流动资产合计 / 总资产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6F1E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等于最近一季度的非流动资产合计 / 总资产</w:t>
            </w:r>
          </w:p>
        </w:tc>
      </w:tr>
      <w:tr w14:paraId="6AB5952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16AA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股东权益与固定资产比率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D3454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归属母公司股东权益合计 / (固定资产 + 工程物资 + 在建工程)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111C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等于最近一季度的归属母公司股东权益合计 / (固定资产 + 工程物资 + 在建工程)</w:t>
            </w:r>
          </w:p>
        </w:tc>
      </w:tr>
    </w:tbl>
    <w:p w14:paraId="45AF5A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盈利能力类：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4E865F9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F9FB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34B1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9A73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5FB115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CDC8C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营业利润率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92EE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(营业利润，0) / TTM (营业收入，0)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A6123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个月的营业利润除以过去 12 个月的营业收入</w:t>
            </w:r>
          </w:p>
        </w:tc>
      </w:tr>
      <w:tr w14:paraId="06D32FF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973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销售净利率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E475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(净利润，0) / TTM (营业收入，0)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0C1A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个月的净利润除以过去 12 个月的营业收入</w:t>
            </w:r>
          </w:p>
        </w:tc>
      </w:tr>
      <w:tr w14:paraId="0B9AC03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9F92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销售毛利率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10F8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(TTM (营业收入，0) - TTM (营业成本，0)) / TTM (营业收入，0)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7C0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 (营业收入 - 营业成本) / 营业收入</w:t>
            </w:r>
          </w:p>
        </w:tc>
      </w:tr>
      <w:tr w14:paraId="3B74ACE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8FF4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资产回报率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48F4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(净利润，0) / AvgQ (资产总计，4, 1)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1761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个月的净利润除以一季度前过去 12 个月的平均资产总计</w:t>
            </w:r>
          </w:p>
        </w:tc>
      </w:tr>
      <w:tr w14:paraId="235397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9870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 年资产回报率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55F5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(Annual (净利润，0) + Annual (净利润，1) + ... + Annual (净利润，4)) / (Annual (资产总计，1) + ... + Annual (资产总计，5))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A98B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5 年的净利润之和除以一年前的过去 5 年的资产总计之和</w:t>
            </w:r>
          </w:p>
        </w:tc>
      </w:tr>
      <w:tr w14:paraId="5B047D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F65F9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净资产收益率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C46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(净利润，0) / AvgQ (所有者权益合计，4, 1)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C8C0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个月的净利润除以一季度前过去 12 个月的平均所有者权益合计</w:t>
            </w:r>
          </w:p>
        </w:tc>
      </w:tr>
      <w:tr w14:paraId="39E113F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2FE9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 年净资产收益率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69A1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(Annual (净利润，0) + ... + Annual (净利润，4)) / (Annual (所有者权益合计，1) + ... + Annual (所有者权益合计，5))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5B03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5 年的净利润之和除以一年前过去 5 年的所有者权益合计之和</w:t>
            </w:r>
          </w:p>
        </w:tc>
      </w:tr>
      <w:tr w14:paraId="5ED9AF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E28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扣非净资产收益率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A2C5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(扣非净利润，0) / AvgQ (所有者权益合计，4, 1)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31B9B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个月的扣非净利润除以一季度前过去 12 个月的平均所有者权益合计</w:t>
            </w:r>
          </w:p>
        </w:tc>
      </w:tr>
      <w:tr w14:paraId="567FA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04E4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投入资本回报率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13F9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(TTM (净利润，0) + TTM (财务费用，0)) / (AvgQ (资产总计，4, 1) - AvgQ (流动负债，4, 1) + AvgQ (应付票据，4, 1) + AvgQ (短期借款，4, 1) + AvgQ (一年内到期的长期负债，4, 1))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BF2A1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个月的（净利润 + 财务费用）/ 一季度前过去 12 个月的平均投入资本</w:t>
            </w:r>
          </w:p>
        </w:tc>
      </w:tr>
    </w:tbl>
    <w:p w14:paraId="26A35A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营运效率类：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73149A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3F8F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1DE7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3ED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3060F4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BF0A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总资产周转率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D018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(营业收入，0) / AvgQ (资产总计，4, 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0AB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个月的营业收入除以过去 12 个月的平均资产总计</w:t>
            </w:r>
          </w:p>
        </w:tc>
      </w:tr>
      <w:tr w14:paraId="61C49BF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F360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存货周转率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7E2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(营业成本，0) / AvgQ (存货，4, 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6EF1A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个月的营业成本除以过去 12 个月的平均存货</w:t>
            </w:r>
          </w:p>
        </w:tc>
      </w:tr>
      <w:tr w14:paraId="734C5E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9CA6B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流动资产周转率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3626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(营业收入，0) / AvgQ (流动资产合计，4, 0)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456A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个月的营业收入 / 过去 12 个月的平均流动资产合计</w:t>
            </w:r>
          </w:p>
        </w:tc>
      </w:tr>
      <w:tr w14:paraId="2674BF9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B304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固定资产周转率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A584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(营业收入，0) / (AvgQ (流动资产合计，4, 0) + AvgQ (工程物资，4, 0) + AvgQ (在建工程，4, 0))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BE3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等于过去 12 个月的营业收入 / 过去 12 个月的平均（固定资产 + 工程物资 + 在建工程）</w:t>
            </w:r>
          </w:p>
        </w:tc>
      </w:tr>
      <w:tr w14:paraId="7BB753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FDD44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应收账款周转率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AD0A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(营业收入，0) / (AvgQ (应收账款，4, 0) + AvgQ (应收票据，4, 0) - AvgQ (预收账款，4, 0))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D14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等于过去 12 个月的营业收入 / 过去 12 个月的平均（应收账款 + 应收票据 - 预收账款）</w:t>
            </w:r>
          </w:p>
        </w:tc>
      </w:tr>
      <w:tr w14:paraId="127D599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F799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存货周转天数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C827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360 / 存货周转率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9C13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 360 / 存货周转率</w:t>
            </w:r>
          </w:p>
        </w:tc>
      </w:tr>
      <w:tr w14:paraId="0C0176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1F05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应收账款周转天数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69B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360 / 应收账款周转率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186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 360 / 应收账款周转率</w:t>
            </w:r>
          </w:p>
        </w:tc>
      </w:tr>
      <w:tr w14:paraId="05D97A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7ED6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营业周期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4618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应收账款周转天数 + 存货周转天数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FD46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等于应收账款周转天数 + 存货周转天数</w:t>
            </w:r>
          </w:p>
        </w:tc>
      </w:tr>
      <w:tr w14:paraId="73245EB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02C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现金转换周期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11C4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营业周期 - 应付账款付款期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861F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营业周期 - 应付账款付款期</w:t>
            </w:r>
          </w:p>
        </w:tc>
      </w:tr>
    </w:tbl>
    <w:p w14:paraId="4041B1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成长能力类：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2C88EF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EFE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F07E0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540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6007652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853BB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营业利润增长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226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(TTM (营业利润，0) - TTM (营业利润，4)) /abs (TTM (营业利润，4))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720C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个月的营业利润相对 4 季度前的 12 个月的营业利润的增长率</w:t>
            </w:r>
          </w:p>
        </w:tc>
      </w:tr>
      <w:tr w14:paraId="1E85E29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F1826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净利润增长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AAD4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(TTM (净利润，0) - TTM (净利润，4)) /abs (TTM (净利润，4))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1665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个月的净利润相对 4 季度前的 12 个月的净利润的增长率</w:t>
            </w:r>
          </w:p>
        </w:tc>
      </w:tr>
      <w:tr w14:paraId="6A7942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A639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利润总额增长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6610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(TTM (利润总额，0) - TTM (利润总额，4)) /abs (TTM (利润总额，4))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B225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个月的利润总额相对 4 季度前的 12 个月的利润总额的增长率</w:t>
            </w:r>
          </w:p>
        </w:tc>
      </w:tr>
      <w:tr w14:paraId="2482F98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C9B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营业收入增长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162F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(TTM (营业收入，0) - TTM (营业收入，4)) /abs (TTM (营业收入，4))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69F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个月的营业收入相对 4 季度前的 12 个月的营业收入的增长率</w:t>
            </w:r>
          </w:p>
        </w:tc>
      </w:tr>
      <w:tr w14:paraId="7E0647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4487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净资产增长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8BBFE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(REFQ (所有者权益合计，0) - REFQ (所有者权益合计，4)) /abs (REFQ (所有者权益合计，4))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4FC3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最近一季的所有者权益合计相对于 4 季度前的所有者权益合计的增长率</w:t>
            </w:r>
          </w:p>
        </w:tc>
      </w:tr>
      <w:tr w14:paraId="270897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0D45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总资产增长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83F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(REFQ (资产总计，0) - REFQ (资产总计，4)) /abs (REFQ (资产总计，4))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6F43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最近一季的资产总计相对于 4 季度前的资产总计的增长率</w:t>
            </w:r>
          </w:p>
        </w:tc>
      </w:tr>
      <w:tr w14:paraId="0643DE2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0AE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净利润 3 年复合增长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E19E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power ((TTM (净利润，0) - TTM (净利润，12)) /abs (TTM (净利润，12)) + 1, 1/3) - 1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89F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个月的净利润相对 12 季度前的 12 个月的净利润的年化增长率</w:t>
            </w:r>
          </w:p>
        </w:tc>
      </w:tr>
      <w:tr w14:paraId="2545577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9B46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净利润 5 年复合增长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0C37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power ((TTM (净利润，0) - TTM (净利润，20)) /abs (TTM (净利润，20)) + 1, 1/5) - 1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3983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个月的净利润相对 20 季度前的 12 个月的净利润的年化增长率</w:t>
            </w:r>
          </w:p>
        </w:tc>
      </w:tr>
      <w:tr w14:paraId="5151352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89F7C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营业收入 3 年复合增长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7F83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power ((TTM (营业收入，0) - TTM (营业收入，12)) /abs (TTM (营业收入，12)) + 1, 1/3) - 1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759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个月的营业收入相对 12 季度前的 12 个月的营业收入的年化增长率</w:t>
            </w:r>
          </w:p>
        </w:tc>
      </w:tr>
      <w:tr w14:paraId="57F21EA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8A9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营业收入 5 年复合增长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EDC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power ((TTM (营业收入，0) - TTM (营业收入，20)) /abs (TTM (营业收入，20)) + 1, 1/5) - 1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F2618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个月的营业收入相对 20 季度前的 12 个月的营业收入的年化增长率</w:t>
            </w:r>
          </w:p>
        </w:tc>
      </w:tr>
    </w:tbl>
    <w:p w14:paraId="56CA56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每股指标类：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6ACD3D0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2A4E6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指标名称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C93D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果仁计算公式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1AD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7DFD58E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87DE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每股收益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D168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(归属于母公司所有者的净利润，0)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675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个月归属母公司所有者的净利润除以总股本</w:t>
            </w:r>
          </w:p>
        </w:tc>
      </w:tr>
      <w:tr w14:paraId="165AE9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1E76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每股扣非收益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1B1C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(扣非净利润，0)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65E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个月扣非净利润除以总股本</w:t>
            </w:r>
          </w:p>
        </w:tc>
      </w:tr>
      <w:tr w14:paraId="3694F37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A7C47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每股净资产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4B0D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归属母公司股东权益合计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95B6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最近一季的归属母公司股东权益合计除以总股本</w:t>
            </w:r>
          </w:p>
        </w:tc>
      </w:tr>
      <w:tr w14:paraId="166B570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DEC1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每股营业利润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D09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(营业利润，0)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BC0D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个月营业利润除以总股本</w:t>
            </w:r>
          </w:p>
        </w:tc>
      </w:tr>
      <w:tr w14:paraId="0B47EF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3883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每股营业收入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A5D3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(营业收入，0)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AF95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个月营业收入除以总股本</w:t>
            </w:r>
          </w:p>
        </w:tc>
      </w:tr>
      <w:tr w14:paraId="6EEB95B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80DD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每股经营性现金流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AFE1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TTM (经营现金流量净额)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D1E7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过去 12 个月经营现金流量净额 / 总股本</w:t>
            </w:r>
          </w:p>
        </w:tc>
      </w:tr>
      <w:tr w14:paraId="52E6921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CB1F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每股资本公积金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4638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资本公积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A89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最近一季的资本公积除以总股本</w:t>
            </w:r>
          </w:p>
        </w:tc>
      </w:tr>
      <w:tr w14:paraId="559BBCE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5650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每股未分配利润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9801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未分配利润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B9A2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最近一季的未分配利润除以总股本</w:t>
            </w:r>
          </w:p>
        </w:tc>
      </w:tr>
      <w:tr w14:paraId="7C8C78E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37AD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每股股息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6C2A1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上一年总现金分红 / 总股本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63B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上一年总现金分红除以总股本</w:t>
            </w:r>
          </w:p>
        </w:tc>
      </w:tr>
    </w:tbl>
    <w:p w14:paraId="2395EAE4">
      <w:pPr>
        <w:spacing w:before="260" w:after="120" w:line="288" w:lineRule="auto"/>
        <w:ind w:left="0"/>
        <w:jc w:val="left"/>
        <w:outlineLvl w:val="3"/>
      </w:pPr>
      <w:bookmarkStart w:id="44" w:name="heading_45"/>
      <w:r>
        <w:rPr>
          <w:rFonts w:ascii="Arial" w:hAnsi="Arial" w:eastAsia="等线" w:cs="Arial"/>
          <w:b/>
          <w:sz w:val="28"/>
        </w:rPr>
        <w:t>3.4.5 公司事件指标</w:t>
      </w:r>
      <w:bookmarkEnd w:id="44"/>
    </w:p>
    <w:p w14:paraId="22223C1C">
      <w:pPr>
        <w:numPr>
          <w:ilvl w:val="0"/>
          <w:numId w:val="1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高管增持股数</w:t>
      </w:r>
      <w:r>
        <w:rPr>
          <w:rFonts w:ascii="Arial" w:hAnsi="Arial" w:eastAsia="等线" w:cs="Arial"/>
          <w:sz w:val="22"/>
        </w:rPr>
        <w:t>：公司高管在过去 1 日 / 5 日 / 20 日通过二级市场或大宗交易净增持股数。股数大于 0 时为净增持，股数小于 0 时为净减持。晚于实际增减持日两天公布。</w:t>
      </w:r>
    </w:p>
    <w:p w14:paraId="2AA5F6CF">
      <w:pPr>
        <w:numPr>
          <w:ilvl w:val="0"/>
          <w:numId w:val="1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高管增持金额</w:t>
      </w:r>
      <w:r>
        <w:rPr>
          <w:rFonts w:ascii="Arial" w:hAnsi="Arial" w:eastAsia="等线" w:cs="Arial"/>
          <w:sz w:val="22"/>
        </w:rPr>
        <w:t>：公司高管在过去 1 日 / 5 日 / 20 日通过二级市场或大宗交易净增持金额。金额大于 0 时为净增持，金额小于 0 时为净减持。</w:t>
      </w:r>
    </w:p>
    <w:p w14:paraId="6886FE19">
      <w:pPr>
        <w:numPr>
          <w:ilvl w:val="0"/>
          <w:numId w:val="1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高管增持次数</w:t>
      </w:r>
      <w:r>
        <w:rPr>
          <w:rFonts w:ascii="Arial" w:hAnsi="Arial" w:eastAsia="等线" w:cs="Arial"/>
          <w:sz w:val="22"/>
        </w:rPr>
        <w:t>：公司高管在过去 1 日 / 5 日 / 20 日通过二级市场或大宗交易净增持交易次数。</w:t>
      </w:r>
    </w:p>
    <w:p w14:paraId="1B50F28E">
      <w:pPr>
        <w:numPr>
          <w:ilvl w:val="0"/>
          <w:numId w:val="1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高管增持股本比例</w:t>
      </w:r>
      <w:r>
        <w:rPr>
          <w:rFonts w:ascii="Arial" w:hAnsi="Arial" w:eastAsia="等线" w:cs="Arial"/>
          <w:sz w:val="22"/>
        </w:rPr>
        <w:t>：公司高管在过去 1 日 / 5 日 / 20 日通过二级市场或大宗交易净增持股本占流通股本的比例。</w:t>
      </w:r>
    </w:p>
    <w:p w14:paraId="15C07863">
      <w:pPr>
        <w:numPr>
          <w:ilvl w:val="0"/>
          <w:numId w:val="1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新增流通股数</w:t>
      </w:r>
      <w:r>
        <w:rPr>
          <w:rFonts w:ascii="Arial" w:hAnsi="Arial" w:eastAsia="等线" w:cs="Arial"/>
          <w:sz w:val="22"/>
        </w:rPr>
        <w:t>：当日 / 未来 20 日 / 未来 60 日新增流通股数。</w:t>
      </w:r>
    </w:p>
    <w:p w14:paraId="5E1AE16D">
      <w:pPr>
        <w:numPr>
          <w:ilvl w:val="0"/>
          <w:numId w:val="1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新增流通股占比</w:t>
      </w:r>
      <w:r>
        <w:rPr>
          <w:rFonts w:ascii="Arial" w:hAnsi="Arial" w:eastAsia="等线" w:cs="Arial"/>
          <w:sz w:val="22"/>
        </w:rPr>
        <w:t>：当日 / 未来 20 日 / 未来 60 日新增流通占比。等于新增流通股数除以流通股本。</w:t>
      </w:r>
    </w:p>
    <w:p w14:paraId="4C49285E">
      <w:pPr>
        <w:numPr>
          <w:ilvl w:val="0"/>
          <w:numId w:val="1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业绩预告累计利润涨幅下限和上限</w:t>
      </w:r>
      <w:r>
        <w:rPr>
          <w:rFonts w:ascii="Arial" w:hAnsi="Arial" w:eastAsia="等线" w:cs="Arial"/>
          <w:sz w:val="22"/>
        </w:rPr>
        <w:t>：公司业绩预告中公布的累计利润涨幅下限和上限。预告对应的季度由预告季度 ID 标出。</w:t>
      </w:r>
    </w:p>
    <w:p w14:paraId="7CA8F542">
      <w:pPr>
        <w:numPr>
          <w:ilvl w:val="0"/>
          <w:numId w:val="1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预期净利润增幅</w:t>
      </w:r>
      <w:r>
        <w:rPr>
          <w:rFonts w:ascii="Arial" w:hAnsi="Arial" w:eastAsia="等线" w:cs="Arial"/>
          <w:sz w:val="22"/>
        </w:rPr>
        <w:t>：分析师对同一时期的净利润增幅一致预期。用于可公司预告数字的对比。值为空时，表示没有预期值。</w:t>
      </w:r>
    </w:p>
    <w:p w14:paraId="44B8F76A">
      <w:pPr>
        <w:spacing w:before="260" w:after="120" w:line="288" w:lineRule="auto"/>
        <w:ind w:left="0"/>
        <w:jc w:val="left"/>
        <w:outlineLvl w:val="3"/>
      </w:pPr>
      <w:bookmarkStart w:id="45" w:name="heading_46"/>
      <w:r>
        <w:rPr>
          <w:rFonts w:ascii="Arial" w:hAnsi="Arial" w:eastAsia="等线" w:cs="Arial"/>
          <w:b/>
          <w:sz w:val="28"/>
        </w:rPr>
        <w:t>3.4.6 情绪指标</w:t>
      </w:r>
      <w:bookmarkEnd w:id="45"/>
    </w:p>
    <w:p w14:paraId="2A201D21">
      <w:pPr>
        <w:numPr>
          <w:ilvl w:val="0"/>
          <w:numId w:val="1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分析师情绪指数</w:t>
      </w:r>
      <w:r>
        <w:rPr>
          <w:rFonts w:ascii="Arial" w:hAnsi="Arial" w:eastAsia="等线" w:cs="Arial"/>
          <w:sz w:val="22"/>
        </w:rPr>
        <w:t>：值在 0 到 1 之间，值越大，代表分析师对这支股票的评价越高。</w:t>
      </w:r>
    </w:p>
    <w:p w14:paraId="7EAE6522">
      <w:pPr>
        <w:numPr>
          <w:ilvl w:val="0"/>
          <w:numId w:val="1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重仓基金数</w:t>
      </w:r>
      <w:r>
        <w:rPr>
          <w:rFonts w:ascii="Arial" w:hAnsi="Arial" w:eastAsia="等线" w:cs="Arial"/>
          <w:sz w:val="22"/>
        </w:rPr>
        <w:t>：重仓持有这支股票的基金个数。根据基金每季度公布的头 10 名持仓股票算出。</w:t>
      </w:r>
    </w:p>
    <w:p w14:paraId="3B65A261">
      <w:pPr>
        <w:numPr>
          <w:ilvl w:val="0"/>
          <w:numId w:val="1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重仓基金持有比例</w:t>
      </w:r>
      <w:r>
        <w:rPr>
          <w:rFonts w:ascii="Arial" w:hAnsi="Arial" w:eastAsia="等线" w:cs="Arial"/>
          <w:sz w:val="22"/>
        </w:rPr>
        <w:t>：重仓基金持有这支股票的总市值除以股票流通市值。</w:t>
      </w:r>
    </w:p>
    <w:p w14:paraId="22936BB2">
      <w:pPr>
        <w:spacing w:before="320" w:after="120" w:line="288" w:lineRule="auto"/>
        <w:ind w:left="0"/>
        <w:jc w:val="left"/>
        <w:outlineLvl w:val="1"/>
      </w:pPr>
      <w:bookmarkStart w:id="46" w:name="heading_47"/>
      <w:r>
        <w:rPr>
          <w:rFonts w:ascii="Arial" w:hAnsi="Arial" w:eastAsia="等线" w:cs="Arial"/>
          <w:b/>
          <w:sz w:val="32"/>
        </w:rPr>
        <w:t>第四部分：解读回测结果的核心指标</w:t>
      </w:r>
      <w:bookmarkEnd w:id="46"/>
    </w:p>
    <w:p w14:paraId="3B9A51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很多用户在得到回测结果后，往往只关注 "总收益" 这一个数字，这是完全不够的 —— 一个优秀的量化策略，需要在收益、风险、稳定性之间，找到一个适合您自身风险承受能力的平衡点。</w:t>
      </w:r>
    </w:p>
    <w:p w14:paraId="6DEAC5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下面我们将介绍，果仁网回测结果中几个核心指标的真实含义，以及如何用它们来综合评估策略的优劣 —— 通过这些指标，您可以全面、立体地判断策略的真实质量，而不是被单一的收益数字所误导。</w:t>
      </w:r>
    </w:p>
    <w:p w14:paraId="06488932">
      <w:pPr>
        <w:spacing w:before="300" w:after="120" w:line="288" w:lineRule="auto"/>
        <w:ind w:left="0"/>
        <w:jc w:val="left"/>
        <w:outlineLvl w:val="2"/>
      </w:pPr>
      <w:bookmarkStart w:id="47" w:name="heading_48"/>
      <w:r>
        <w:rPr>
          <w:rFonts w:ascii="Arial" w:hAnsi="Arial" w:eastAsia="等线" w:cs="Arial"/>
          <w:b/>
          <w:sz w:val="30"/>
        </w:rPr>
        <w:t>4.1 策略评分：快速判断策略优劣</w:t>
      </w:r>
      <w:bookmarkEnd w:id="47"/>
    </w:p>
    <w:p w14:paraId="3120D2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对于新手用户，果仁网提供了一个非常方便的 "策略评分" 综合指标 —— 这是平台基于回测结果，对策略进行的多维度综合量化评价，可以帮助您快速判断策略的整体质量水平。</w:t>
      </w:r>
    </w:p>
    <w:p w14:paraId="15EA8C4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策略评分的满分是 100 分，由五个维度的子评分，按照平台预设的科学权重比例加权计算得出。这五个子评分，分别对应策略的一个核心风险收益维度，覆盖了从盈利能力、风险控制、容量规模到实盘适配性的全维度评估。</w:t>
      </w:r>
    </w:p>
    <w:p w14:paraId="1A7731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平台官方给出的参考标准为：评分在 70 分以上的策略，属于综合表现相对较好的策略；60 分以下的策略，属于综合表现相对较差、不建议直接应用于实盘的策略。需要特别说明的是，这个评分标准仅作为参考依据，您还需要仔细研究策略的各个子评分，才能对策略做出更精准的判断。</w:t>
      </w:r>
    </w:p>
    <w:p w14:paraId="5BF5B3D7">
      <w:pPr>
        <w:spacing w:before="300" w:after="120" w:line="288" w:lineRule="auto"/>
        <w:ind w:left="0"/>
        <w:jc w:val="left"/>
        <w:outlineLvl w:val="2"/>
      </w:pPr>
      <w:bookmarkStart w:id="48" w:name="heading_49"/>
      <w:r>
        <w:rPr>
          <w:rFonts w:ascii="Arial" w:hAnsi="Arial" w:eastAsia="等线" w:cs="Arial"/>
          <w:b/>
          <w:sz w:val="30"/>
        </w:rPr>
        <w:t>4.2 五大核心子评分详解</w:t>
      </w:r>
      <w:bookmarkEnd w:id="48"/>
    </w:p>
    <w:p w14:paraId="63696D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策略评分的五个维度子评分，分别对应着判断策略优劣的五大核心标准。理解这五个子评分的含义，是您科学评估策略质量的关键。</w:t>
      </w:r>
    </w:p>
    <w:p w14:paraId="3E82D080">
      <w:pPr>
        <w:spacing w:before="260" w:after="120" w:line="288" w:lineRule="auto"/>
        <w:ind w:left="0"/>
        <w:jc w:val="left"/>
        <w:outlineLvl w:val="3"/>
      </w:pPr>
      <w:bookmarkStart w:id="49" w:name="heading_50"/>
      <w:r>
        <w:rPr>
          <w:rFonts w:ascii="Arial" w:hAnsi="Arial" w:eastAsia="等线" w:cs="Arial"/>
          <w:b/>
          <w:sz w:val="28"/>
        </w:rPr>
        <w:t>4.2.1 收益分：衡量策略盈利能力</w:t>
      </w:r>
      <w:bookmarkEnd w:id="49"/>
    </w:p>
    <w:p w14:paraId="4812088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收益分是衡量策略盈利能力的核心指标，主要根据策略的年化收益水平，以及相对于市场基准指数的超额收益幅度，进行综合计算。它的本质，是将策略的收益表现，放在全市场策略样本池中进行横向对比，给策略的盈利能力打出一个标准化的分数。</w:t>
      </w:r>
    </w:p>
    <w:p w14:paraId="092B48C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平台官方的评分逻辑为：如果一个策略的收益分达到 100 分，说明这个策略在过去 5 年的回测区间内，实现了年化收益约 50% 的水平；如果收益分只有 60 分，则说明策略的年化收益水平在 10%-15% 区间 —— 这一收益水平可能还跑不赢部分主动管理型基金。</w:t>
      </w:r>
    </w:p>
    <w:p w14:paraId="736D2B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需要特别注意的是，收益分的高低，并不是判断策略优劣的唯一标准 —— 高收益分的背后，往往对应着高风险，您必须将收益分和其他几个维度的子评分结合起来，对策略进行综合判断，才能得出客观的结论。</w:t>
      </w:r>
    </w:p>
    <w:p w14:paraId="6F971BD9">
      <w:pPr>
        <w:spacing w:before="260" w:after="120" w:line="288" w:lineRule="auto"/>
        <w:ind w:left="0"/>
        <w:jc w:val="left"/>
        <w:outlineLvl w:val="3"/>
      </w:pPr>
      <w:bookmarkStart w:id="50" w:name="heading_51"/>
      <w:r>
        <w:rPr>
          <w:rFonts w:ascii="Arial" w:hAnsi="Arial" w:eastAsia="等线" w:cs="Arial"/>
          <w:b/>
          <w:sz w:val="28"/>
        </w:rPr>
        <w:t>4.2.2 抗风险分：衡量策略风险控制能力</w:t>
      </w:r>
      <w:bookmarkEnd w:id="50"/>
    </w:p>
    <w:p w14:paraId="4553F5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抗风险分是衡量策略风险控制能力的核心指标，主要根据策略的历史最大回撤率、交易胜率，以及相对大盘的下行 beta 值进行综合计算。这是衡量策略 "收益稳定性" 的关键指标 —— 对于长期投资而言，抗风险能力的重要性，丝毫不亚于盈利能力。</w:t>
      </w:r>
    </w:p>
    <w:p w14:paraId="02910A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其中，最大回撤是回测结果中最重要的风险指标，它代表了策略在历史回测区间内，经历的从最高净值到最低净值的最大下行幅度。简单来说，就是您在使用这个策略的过程中，可能面临的最严重阶段性浮亏幅度。</w:t>
      </w:r>
    </w:p>
    <w:p w14:paraId="0B4ECCF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抗风险分的参考标准为：如果一个策略的抗风险分达到 80 分以上，说明策略的抗风险能力较强，在市场下跌时的下行幅度可控；如果抗风险分低于 60 分，则说明策略的风险控制能力相对一般，在市场出现系统性风险时，可能会出现较大的阶段性浮亏。</w:t>
      </w:r>
    </w:p>
    <w:p w14:paraId="253F70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需要特别强调的是，为了保证策略评估结果的严谨性和真实性，抗风险分的计算逻辑，与其他几个维度的评分逻辑存在本质差异 —— 其他维度的评分，是基于多次回测结果的平均值进行计算的；而抗风险分的计算，使用的是策略在所有回测样本中表现最差的那一次结果。这是一种 "风险优先" 的评估逻辑 —— 用历史上最极端的市场场景，来测试策略的风险表现，确保策略在极端环境下的风险暴露水平，也在用户可接受的范围之内。</w:t>
      </w:r>
    </w:p>
    <w:p w14:paraId="31E76AC1">
      <w:pPr>
        <w:spacing w:before="260" w:after="120" w:line="288" w:lineRule="auto"/>
        <w:ind w:left="0"/>
        <w:jc w:val="left"/>
        <w:outlineLvl w:val="3"/>
      </w:pPr>
      <w:bookmarkStart w:id="51" w:name="heading_52"/>
      <w:r>
        <w:rPr>
          <w:rFonts w:ascii="Arial" w:hAnsi="Arial" w:eastAsia="等线" w:cs="Arial"/>
          <w:b/>
          <w:sz w:val="28"/>
        </w:rPr>
        <w:t>4.2.3 流动性分：衡量策略资金容量</w:t>
      </w:r>
      <w:bookmarkEnd w:id="51"/>
    </w:p>
    <w:p w14:paraId="471D77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流动性分是衡量策略资金容量大小的核心指标，代表了策略能够舒适容纳的最大资金规模，以及不会因为资金量过大、买卖盘度过集中而导致实际交易收益出现明显下滑的能力。</w:t>
      </w:r>
    </w:p>
    <w:p w14:paraId="473DF9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流动性分的参考标准为：如果一个策略的流动性分达到 90 分以上，说明这是一个大容量策略，可以容纳的资金规模在亿元级以上，不会因为资金量过大而产生明显的冲击成本；如果流动性分低于 60 分，则说明这是一个小容量策略 —— 这类策略的选股标的多为中小市值个股，资金容量上限较低，如果投入资金过大，可能会在实际买卖时造成个股的大幅波动，显著增加交易成本，侵蚀策略的实际收益。</w:t>
      </w:r>
    </w:p>
    <w:p w14:paraId="5FBFA109">
      <w:pPr>
        <w:spacing w:before="260" w:after="120" w:line="288" w:lineRule="auto"/>
        <w:ind w:left="0"/>
        <w:jc w:val="left"/>
        <w:outlineLvl w:val="3"/>
      </w:pPr>
      <w:bookmarkStart w:id="52" w:name="heading_53"/>
      <w:r>
        <w:rPr>
          <w:rFonts w:ascii="Arial" w:hAnsi="Arial" w:eastAsia="等线" w:cs="Arial"/>
          <w:b/>
          <w:sz w:val="28"/>
        </w:rPr>
        <w:t>4.2.4 稳定性分：衡量策略收益波动率</w:t>
      </w:r>
      <w:bookmarkEnd w:id="52"/>
    </w:p>
    <w:p w14:paraId="504B4B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稳定性分是衡量策略收益波动率的核心指标，代表了策略收益的平稳程度。它的本质，是衡量策略在不同市场环境下、不同时间区间内的收益表现一致性 —— 一个收益稳定性高的策略，不会因为市场风格的短期切换，而出现收益的大幅波动。</w:t>
      </w:r>
    </w:p>
    <w:p w14:paraId="2B2A23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稳定性分的参考标准为：如果一个策略的稳定性分达到 70 分以上，说明策略的收益波动性较低，其月收益波动率在 5% 以下；如果稳定性分低于 40 分，则说明策略的收益波动性较高，其月收益波动率在 15% 以上。</w:t>
      </w:r>
    </w:p>
    <w:p w14:paraId="3D07B7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波动率越高，代表策略收益的不确定性越强 —— 虽然在某些市场环境下，这类策略可能会获得较高的短期收益，但在其他市场环境下，也可能面临大幅的收益回撤。对于大多数普通投资者而言，收益稳定性的重要性，可能超过短期的高收益。</w:t>
      </w:r>
    </w:p>
    <w:p w14:paraId="7406E81F">
      <w:pPr>
        <w:spacing w:before="260" w:after="120" w:line="288" w:lineRule="auto"/>
        <w:ind w:left="0"/>
        <w:jc w:val="left"/>
        <w:outlineLvl w:val="3"/>
      </w:pPr>
      <w:bookmarkStart w:id="53" w:name="heading_54"/>
      <w:r>
        <w:rPr>
          <w:rFonts w:ascii="Arial" w:hAnsi="Arial" w:eastAsia="等线" w:cs="Arial"/>
          <w:b/>
          <w:sz w:val="28"/>
        </w:rPr>
        <w:t>4.2.5 实盘分：衡量策略实盘适配能力</w:t>
      </w:r>
      <w:bookmarkEnd w:id="53"/>
    </w:p>
    <w:p w14:paraId="646891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实盘分是果仁网特有的评分维度，是衡量策略实盘适配能力的核心指标，主要根据策略的实际运行时长、实盘收益表现与回测结果的匹配度，以及实盘交易中的实际滑点损失等指标进行综合计算。策略保存后，随着时间推移实盘分会自动累计。</w:t>
      </w:r>
    </w:p>
    <w:p w14:paraId="46769B4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实盘分的参考标准为：如果一个策略的实盘分较高，说明这个策略的回测结果，与实际实盘交易的收益表现匹配度较高，历史实盘运行过程稳定，没有出现过明显的逻辑偏差或异常交易；如果实盘分较低，则说明策略的实盘表现与回测结果可能存在较大偏差，需要进一步优化调整。</w:t>
      </w:r>
    </w:p>
    <w:p w14:paraId="3E5B5AF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需要特别注意的是，只要用户对已保存的策略再进行任何逻辑上的修改调整，平台就会自动将这个策略的实盘分清零 —— 这是为了保证策略评估的公平性。因为任何细微的逻辑调整，都可能导致策略的实盘表现发生变化，需要重新经过实盘验证后，才能再次积累实盘分。</w:t>
      </w:r>
    </w:p>
    <w:p w14:paraId="009AFB1A">
      <w:pPr>
        <w:spacing w:before="300" w:after="120" w:line="288" w:lineRule="auto"/>
        <w:ind w:left="0"/>
        <w:jc w:val="left"/>
        <w:outlineLvl w:val="2"/>
      </w:pPr>
      <w:bookmarkStart w:id="54" w:name="heading_55"/>
      <w:r>
        <w:rPr>
          <w:rFonts w:ascii="Arial" w:hAnsi="Arial" w:eastAsia="等线" w:cs="Arial"/>
          <w:b/>
          <w:sz w:val="30"/>
        </w:rPr>
        <w:t>4.3 策略评估指标详解</w:t>
      </w:r>
      <w:bookmarkEnd w:id="54"/>
    </w:p>
    <w:p w14:paraId="4EC107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除了策略评分体系外，果仁网回测结果还提供了一系列专业的量化评估指标，这些是行业通用的策略评价标准：</w:t>
      </w:r>
    </w:p>
    <w:p w14:paraId="5C52EA0D">
      <w:pPr>
        <w:spacing w:before="260" w:after="120" w:line="288" w:lineRule="auto"/>
        <w:ind w:left="0"/>
        <w:jc w:val="left"/>
        <w:outlineLvl w:val="3"/>
      </w:pPr>
      <w:bookmarkStart w:id="55" w:name="heading_56"/>
      <w:r>
        <w:rPr>
          <w:rFonts w:ascii="Arial" w:hAnsi="Arial" w:eastAsia="等线" w:cs="Arial"/>
          <w:b/>
          <w:sz w:val="28"/>
        </w:rPr>
        <w:t>4.3.1 夏普比率</w:t>
      </w:r>
      <w:bookmarkEnd w:id="55"/>
    </w:p>
    <w:p w14:paraId="7DD6D1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表示每承受一单位总风险，会产生多少的超额回报。</w:t>
      </w:r>
    </w:p>
    <w:p w14:paraId="66C316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计算公式</w:t>
      </w:r>
      <w:r>
        <w:rPr>
          <w:rFonts w:ascii="Arial" w:hAnsi="Arial" w:eastAsia="等线" w:cs="Arial"/>
          <w:sz w:val="22"/>
        </w:rPr>
        <w:t>：(年化收益率 - 无风险收益) / 年化收益波动率</w:t>
      </w:r>
    </w:p>
    <w:p w14:paraId="5E6024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其中：</w:t>
      </w:r>
    </w:p>
    <w:p w14:paraId="0789E88C">
      <w:pPr>
        <w:numPr>
          <w:ilvl w:val="0"/>
          <w:numId w:val="1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年化收益率 = (总收益 + 1)^(365.25 / 天数) - 1</w:t>
      </w:r>
    </w:p>
    <w:p w14:paraId="35722779">
      <w:pPr>
        <w:numPr>
          <w:ilvl w:val="0"/>
          <w:numId w:val="1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无风险收益 = 4%</w:t>
      </w:r>
    </w:p>
    <w:p w14:paraId="0CAD1904">
      <w:pPr>
        <w:numPr>
          <w:ilvl w:val="0"/>
          <w:numId w:val="1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年化收益波动率 = stdev (日收益) × sqrt (250)</w:t>
      </w:r>
    </w:p>
    <w:p w14:paraId="097105E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夏普比率越高，代表策略的风险收益性价比越好。一般来说，夏普比率大于 1 代表策略风险收益比较好，大于 2 代表非常优秀。</w:t>
      </w:r>
    </w:p>
    <w:p w14:paraId="496F09B3">
      <w:pPr>
        <w:spacing w:before="260" w:after="120" w:line="288" w:lineRule="auto"/>
        <w:ind w:left="0"/>
        <w:jc w:val="left"/>
        <w:outlineLvl w:val="3"/>
      </w:pPr>
      <w:bookmarkStart w:id="56" w:name="heading_57"/>
      <w:r>
        <w:rPr>
          <w:rFonts w:ascii="Arial" w:hAnsi="Arial" w:eastAsia="等线" w:cs="Arial"/>
          <w:b/>
          <w:sz w:val="28"/>
        </w:rPr>
        <w:t>4.3.2 最大回撤率</w:t>
      </w:r>
      <w:bookmarkEnd w:id="56"/>
    </w:p>
    <w:p w14:paraId="6A2E2F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策略历史收益的最大跌幅。</w:t>
      </w:r>
    </w:p>
    <w:p w14:paraId="40BC60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具体计算方法</w:t>
      </w:r>
      <w:r>
        <w:rPr>
          <w:rFonts w:ascii="Arial" w:hAnsi="Arial" w:eastAsia="等线" w:cs="Arial"/>
          <w:sz w:val="22"/>
        </w:rPr>
        <w:t>：max (1 - 策略当日价值 / 当日之前虚拟账户最高价值)</w:t>
      </w:r>
    </w:p>
    <w:p w14:paraId="71E8DCD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最大回撤是衡量策略风险的最重要指标之一，代表了策略在历史上曾经出现过的最大浮亏幅度。对于投资者来说，这是最直观的风险感受指标。</w:t>
      </w:r>
    </w:p>
    <w:p w14:paraId="5BCA9E4B">
      <w:pPr>
        <w:spacing w:before="260" w:after="120" w:line="288" w:lineRule="auto"/>
        <w:ind w:left="0"/>
        <w:jc w:val="left"/>
        <w:outlineLvl w:val="3"/>
      </w:pPr>
      <w:bookmarkStart w:id="57" w:name="heading_58"/>
      <w:r>
        <w:rPr>
          <w:rFonts w:ascii="Arial" w:hAnsi="Arial" w:eastAsia="等线" w:cs="Arial"/>
          <w:b/>
          <w:sz w:val="28"/>
        </w:rPr>
        <w:t>4.3.3 收益波动率</w:t>
      </w:r>
      <w:bookmarkEnd w:id="57"/>
    </w:p>
    <w:p w14:paraId="342F56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用来测量策略的风险性，波动越大代表策略风险越高。</w:t>
      </w:r>
    </w:p>
    <w:p w14:paraId="6E6712F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具体计算方法</w:t>
      </w:r>
      <w:r>
        <w:rPr>
          <w:rFonts w:ascii="Arial" w:hAnsi="Arial" w:eastAsia="等线" w:cs="Arial"/>
          <w:sz w:val="22"/>
        </w:rPr>
        <w:t>：日收益的标准差 × SQRT (250)</w:t>
      </w:r>
    </w:p>
    <w:p w14:paraId="7D8F5C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其中 250 意思是一年 250 个交易日。波动率越高，说明策略收益的不确定性越强。</w:t>
      </w:r>
    </w:p>
    <w:p w14:paraId="647D7000">
      <w:pPr>
        <w:spacing w:before="260" w:after="120" w:line="288" w:lineRule="auto"/>
        <w:ind w:left="0"/>
        <w:jc w:val="left"/>
        <w:outlineLvl w:val="3"/>
      </w:pPr>
      <w:bookmarkStart w:id="58" w:name="heading_59"/>
      <w:r>
        <w:rPr>
          <w:rFonts w:ascii="Arial" w:hAnsi="Arial" w:eastAsia="等线" w:cs="Arial"/>
          <w:b/>
          <w:sz w:val="28"/>
        </w:rPr>
        <w:t>4.3.4 信息比率</w:t>
      </w:r>
      <w:bookmarkEnd w:id="58"/>
    </w:p>
    <w:p w14:paraId="3602901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衡量策略是否能稳定跑赢基准。</w:t>
      </w:r>
    </w:p>
    <w:p w14:paraId="16909F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计算公式</w:t>
      </w:r>
      <w:r>
        <w:rPr>
          <w:rFonts w:ascii="Arial" w:hAnsi="Arial" w:eastAsia="等线" w:cs="Arial"/>
          <w:sz w:val="22"/>
        </w:rPr>
        <w:t>：(策略年化收益 - 基准年化收益) / 年化相对收益波动率</w:t>
      </w:r>
    </w:p>
    <w:p w14:paraId="150CEA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其中：年化相对收益波动率 = stdev (策略每日收益 - 基准每日收益) × sqrt (250)</w:t>
      </w:r>
    </w:p>
    <w:p w14:paraId="0616169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当基准为无风险资产时，信息比率等同夏普比率。信息比率越高，说明策略稳定跑赢基准的能力越强。</w:t>
      </w:r>
    </w:p>
    <w:p w14:paraId="203E37E7">
      <w:pPr>
        <w:spacing w:before="260" w:after="120" w:line="288" w:lineRule="auto"/>
        <w:ind w:left="0"/>
        <w:jc w:val="left"/>
        <w:outlineLvl w:val="3"/>
      </w:pPr>
      <w:bookmarkStart w:id="59" w:name="heading_60"/>
      <w:r>
        <w:rPr>
          <w:rFonts w:ascii="Arial" w:hAnsi="Arial" w:eastAsia="等线" w:cs="Arial"/>
          <w:b/>
          <w:sz w:val="28"/>
        </w:rPr>
        <w:t>4.3.5 Beta</w:t>
      </w:r>
      <w:bookmarkEnd w:id="59"/>
    </w:p>
    <w:p w14:paraId="015202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贝塔值愈大，策略收益相对于收益基准的波动越大。</w:t>
      </w:r>
    </w:p>
    <w:p w14:paraId="25970A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具体计算方法</w:t>
      </w:r>
      <w:r>
        <w:rPr>
          <w:rFonts w:ascii="Arial" w:hAnsi="Arial" w:eastAsia="等线" w:cs="Arial"/>
          <w:sz w:val="22"/>
        </w:rPr>
        <w:t>：策略每日收益与收益基准每日收益的协方差 (covariance) / 收益基准每日收益的方差 (variance)</w:t>
      </w:r>
    </w:p>
    <w:p w14:paraId="59F81A6C">
      <w:pPr>
        <w:numPr>
          <w:ilvl w:val="0"/>
          <w:numId w:val="1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Beta = 1 时，策略收益的波动和收益基准基本一样</w:t>
      </w:r>
    </w:p>
    <w:p w14:paraId="5ACA70F4">
      <w:pPr>
        <w:numPr>
          <w:ilvl w:val="0"/>
          <w:numId w:val="1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Beta &gt; 1，收益基准的波动会引起策略收益的较大变化</w:t>
      </w:r>
    </w:p>
    <w:p w14:paraId="40F96B69">
      <w:pPr>
        <w:numPr>
          <w:ilvl w:val="0"/>
          <w:numId w:val="1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Beta &lt; 1，说明策略波动小于大盘，相对更稳健</w:t>
      </w:r>
    </w:p>
    <w:p w14:paraId="57D44A3D">
      <w:pPr>
        <w:spacing w:before="260" w:after="120" w:line="288" w:lineRule="auto"/>
        <w:ind w:left="0"/>
        <w:jc w:val="left"/>
        <w:outlineLvl w:val="3"/>
      </w:pPr>
      <w:bookmarkStart w:id="60" w:name="heading_61"/>
      <w:r>
        <w:rPr>
          <w:rFonts w:ascii="Arial" w:hAnsi="Arial" w:eastAsia="等线" w:cs="Arial"/>
          <w:b/>
          <w:sz w:val="28"/>
        </w:rPr>
        <w:t>4.3.6 Alpha</w:t>
      </w:r>
      <w:bookmarkEnd w:id="60"/>
    </w:p>
    <w:p w14:paraId="216E4C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Alpha 是投资者获得与市场波动无关的回报。</w:t>
      </w:r>
    </w:p>
    <w:p w14:paraId="5BB9DBD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具体计算方式</w:t>
      </w:r>
      <w:r>
        <w:rPr>
          <w:rFonts w:ascii="Arial" w:hAnsi="Arial" w:eastAsia="等线" w:cs="Arial"/>
          <w:sz w:val="22"/>
        </w:rPr>
        <w:t>：(策略年化收益 - 无风险年化收益) - beta × (收益基准年化收益 - 无风险年化收益)</w:t>
      </w:r>
    </w:p>
    <w:p w14:paraId="01C3EAB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这里的无风险年化收益按 4% 计算。</w:t>
      </w:r>
    </w:p>
    <w:p w14:paraId="78E499DD">
      <w:pPr>
        <w:numPr>
          <w:ilvl w:val="0"/>
          <w:numId w:val="1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Alpha &gt; 0，策略相对于风险，获得了超额收益</w:t>
      </w:r>
    </w:p>
    <w:p w14:paraId="0E5667B6">
      <w:pPr>
        <w:numPr>
          <w:ilvl w:val="0"/>
          <w:numId w:val="1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Alpha &lt; 0，策略相对于风险，获得了较少收益</w:t>
      </w:r>
    </w:p>
    <w:p w14:paraId="352F4B6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Alpha 是衡量策略真正超额收益能力的核心指标，代表了策略独立于市场波动的盈利能力。</w:t>
      </w:r>
    </w:p>
    <w:p w14:paraId="2D7121B7">
      <w:pPr>
        <w:spacing w:before="320" w:after="120" w:line="288" w:lineRule="auto"/>
        <w:ind w:left="0"/>
        <w:jc w:val="left"/>
        <w:outlineLvl w:val="1"/>
      </w:pPr>
      <w:bookmarkStart w:id="61" w:name="heading_62"/>
      <w:r>
        <w:rPr>
          <w:rFonts w:ascii="Arial" w:hAnsi="Arial" w:eastAsia="等线" w:cs="Arial"/>
          <w:b/>
          <w:sz w:val="32"/>
        </w:rPr>
        <w:t>第五部分：常见问题解答（FAQ）</w:t>
      </w:r>
      <w:bookmarkEnd w:id="61"/>
    </w:p>
    <w:p w14:paraId="579BE0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在使用平台的过程中，您可能会遇到以下这些共性问题。这是我们整理的用户最常咨询的问题汇总，涵盖了从回测理解到实盘操作的常见误区和解决方案。</w:t>
      </w:r>
    </w:p>
    <w:p w14:paraId="4E98F799">
      <w:pPr>
        <w:spacing w:before="300" w:after="120" w:line="288" w:lineRule="auto"/>
        <w:ind w:left="0"/>
        <w:jc w:val="left"/>
        <w:outlineLvl w:val="2"/>
      </w:pPr>
      <w:bookmarkStart w:id="62" w:name="heading_63"/>
      <w:r>
        <w:rPr>
          <w:rFonts w:ascii="Arial" w:hAnsi="Arial" w:eastAsia="等线" w:cs="Arial"/>
          <w:b/>
          <w:sz w:val="30"/>
        </w:rPr>
        <w:t>5.1 回测结果类问题</w:t>
      </w:r>
      <w:bookmarkEnd w:id="62"/>
    </w:p>
    <w:p w14:paraId="4C7B66FC">
      <w:pPr>
        <w:spacing w:before="260" w:after="120" w:line="288" w:lineRule="auto"/>
        <w:ind w:left="0"/>
        <w:jc w:val="left"/>
        <w:outlineLvl w:val="3"/>
      </w:pPr>
      <w:bookmarkStart w:id="63" w:name="heading_64"/>
      <w:r>
        <w:rPr>
          <w:rFonts w:ascii="Arial" w:hAnsi="Arial" w:eastAsia="等线" w:cs="Arial"/>
          <w:b/>
          <w:sz w:val="28"/>
        </w:rPr>
        <w:t>5.1.1 为什么排名分析和策略回测的收益率结果不一样？</w:t>
      </w:r>
      <w:bookmarkEnd w:id="63"/>
    </w:p>
    <w:p w14:paraId="37A6D99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这是用户最常咨询的问题之一。很多用户会遇到这样的情况：在排名分析中收益表现很好的策略，到策略回测中实际收益却低很多，两者的结果差异甚至会达到 20% 以上。这是由两者的计算逻辑不同导致的 —— 排名分析和策略回测，是两个完全不同的验证环节，用途也完全不一样。</w:t>
      </w:r>
    </w:p>
    <w:p w14:paraId="78B1E7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具体来说，两者的核心差异在两点：</w:t>
      </w:r>
    </w:p>
    <w:p w14:paraId="4ACC1740">
      <w:pPr>
        <w:numPr>
          <w:ilvl w:val="0"/>
          <w:numId w:val="1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计算逻辑不同</w:t>
      </w:r>
      <w:r>
        <w:rPr>
          <w:rFonts w:ascii="Arial" w:hAnsi="Arial" w:eastAsia="等线" w:cs="Arial"/>
          <w:sz w:val="22"/>
        </w:rPr>
        <w:t>：排名分析的回测计算逻辑做了大量简化，没有考虑实际交易中的各种摩擦成本，也没有考虑交易流动性限制 —— 它的核心用途，是快速验证选股策略的相对有效性，通过高分段到低分段股票的收益分布趋势，来判断选股逻辑的整体方向是否有效。而策略回测的计算逻辑，完全模拟了真实市场中的实际交易情况 —— 包括交易成本、滑点限制、股票流动性、成交规则等细节因素，都会被纳入收益计算的考量范围，这样得出的结果，才能更接近真实市场环境下的实际交易表现。</w:t>
      </w:r>
    </w:p>
    <w:p w14:paraId="1BF0F746">
      <w:pPr>
        <w:numPr>
          <w:ilvl w:val="0"/>
          <w:numId w:val="1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成交假设不同</w:t>
      </w:r>
      <w:r>
        <w:rPr>
          <w:rFonts w:ascii="Arial" w:hAnsi="Arial" w:eastAsia="等线" w:cs="Arial"/>
          <w:sz w:val="22"/>
        </w:rPr>
        <w:t>：排名分析在计算收益时，假设所有的股票买卖指令，都可以在目标价格上顺利成交。但在实际的实盘交易环境中，情况并非如此 —— 如果一只股票的买入量过大，或短期流动性不足，会导致实际成交价格与目标价格出现偏差；如果股票处于停牌、或一字板涨停 / 跌停状态，策略的买卖指令将无法执行，只能继续持有该股票，直到下一个调仓日。这些在排名分析中被忽略的细节，都是造成两者收益差异的重要原因。</w:t>
      </w:r>
    </w:p>
    <w:p w14:paraId="508F8D7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从验证逻辑的优先级上讲，策略回测的结果，远比排名分析的结果更重要、更有参考价值 —— 只有通过了策略回测的验证，才能说明这个策略在实际市场环境下，具备可交易的盈利性。</w:t>
      </w:r>
    </w:p>
    <w:p w14:paraId="4D605962">
      <w:pPr>
        <w:spacing w:before="260" w:after="120" w:line="288" w:lineRule="auto"/>
        <w:ind w:left="0"/>
        <w:jc w:val="left"/>
        <w:outlineLvl w:val="3"/>
      </w:pPr>
      <w:bookmarkStart w:id="64" w:name="heading_65"/>
      <w:r>
        <w:rPr>
          <w:rFonts w:ascii="Arial" w:hAnsi="Arial" w:eastAsia="等线" w:cs="Arial"/>
          <w:b/>
          <w:sz w:val="28"/>
        </w:rPr>
        <w:t>5.1.2 为什么调整回测起始日期后，策略收益变化很大？</w:t>
      </w:r>
      <w:bookmarkEnd w:id="64"/>
    </w:p>
    <w:p w14:paraId="796D56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部分用户会遇到这样的情况：策略的回测起始日期，仅仅往前或往后调整了一天，最终的回测收益结果却出现了大幅变化，甚至可能从正收益变成了亏损状态。这种问题通常是由两个原因导致的：</w:t>
      </w:r>
    </w:p>
    <w:p w14:paraId="2D361579">
      <w:pPr>
        <w:numPr>
          <w:ilvl w:val="0"/>
          <w:numId w:val="1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统计样本数量过少，收益计算随机性较大</w:t>
      </w:r>
      <w:r>
        <w:rPr>
          <w:rFonts w:ascii="Arial" w:hAnsi="Arial" w:eastAsia="等线" w:cs="Arial"/>
          <w:sz w:val="22"/>
        </w:rPr>
        <w:t>：回测本质是一种统计验证方法，而统计结果的可靠性，与样本数量的规模直接相关。一个策略的持仓股票数量越少、调仓周期越长、回测时长越短，回测的统计样本数据点就越少，收益计算结果的随机性波动就越大。比如，一个策略的最大持仓股票数量是 2 只，调仓周期是 20 天，回测时长是 5 年，按一年 240 个交易日计算，这个策略的回测统计样本数据点，只有 2×12×5=120 个 —— 这一样本数量规模，远低于量化回测的统计学标准，收益计算结果自然会出现较大的波动。</w:t>
      </w:r>
    </w:p>
    <w:p w14:paraId="6111D279">
      <w:pPr>
        <w:numPr>
          <w:ilvl w:val="0"/>
          <w:numId w:val="1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策略本身过度拟合，结果稳定性差</w:t>
      </w:r>
      <w:r>
        <w:rPr>
          <w:rFonts w:ascii="Arial" w:hAnsi="Arial" w:eastAsia="等线" w:cs="Arial"/>
          <w:sz w:val="22"/>
        </w:rPr>
        <w:t>：如果策略的逻辑设计过于复杂、参数对某个特定市场时段过于优化，或者为了提高回测收益，而刻意加入了过多的 "未来函数" 或过度优化的筛选条件，就很容易出现过度拟合的问题。这类策略的回测收益，往往对起始日期的选择高度敏感 —— 仅仅调整一天的起始日期，收益结果就可能出现大幅变化。更重要的是，这类策略在历史回测数据上的表现再好，一旦放到实际的实盘交易环境中，表现往往会大幅下滑，甚至出现持续亏损。</w:t>
      </w:r>
    </w:p>
    <w:p w14:paraId="563133E2">
      <w:pPr>
        <w:spacing w:before="260" w:after="120" w:line="288" w:lineRule="auto"/>
        <w:ind w:left="0"/>
        <w:jc w:val="left"/>
        <w:outlineLvl w:val="3"/>
      </w:pPr>
      <w:bookmarkStart w:id="65" w:name="heading_66"/>
      <w:r>
        <w:rPr>
          <w:rFonts w:ascii="Arial" w:hAnsi="Arial" w:eastAsia="等线" w:cs="Arial"/>
          <w:b/>
          <w:sz w:val="28"/>
        </w:rPr>
        <w:t>5.1.3 为什么选股指标只有后复权价格，没有前复权价格？</w:t>
      </w:r>
      <w:bookmarkEnd w:id="65"/>
    </w:p>
    <w:p w14:paraId="2339EE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这是由回测的计算逻辑和数据安全性要求决定的 —— 复权方式的选择，是保证回测结果准确性的重要前提。</w:t>
      </w:r>
    </w:p>
    <w:p w14:paraId="635B85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具体来说，果仁网在选股指标中使用后复权价格，有两个核心原因：</w:t>
      </w:r>
    </w:p>
    <w:p w14:paraId="1E542DCC">
      <w:pPr>
        <w:numPr>
          <w:ilvl w:val="0"/>
          <w:numId w:val="1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防止未来信息函数，保证数据安全</w:t>
      </w:r>
      <w:r>
        <w:rPr>
          <w:rFonts w:ascii="Arial" w:hAnsi="Arial" w:eastAsia="等线" w:cs="Arial"/>
          <w:sz w:val="22"/>
        </w:rPr>
        <w:t>：这是最核心的原因。量化回测的一条核心铁律，是不允许使用 "未来信息"—— 如果在回测计算中，引入了回测时段结束后的未来数据，就会得到完全失真的验证结果。而前复权价格的计算逻辑，恰恰依赖于股票的最新收盘价信息 —— 这属于典型的未来信息，在回测时，真实的历史环境下是无法获取的。如果使用前复权价格进行回测计算，相当于在策略中，隐性引入了未来信息，会导致回测结果严重失真，完全失去参考价值。</w:t>
      </w:r>
    </w:p>
    <w:p w14:paraId="78145885">
      <w:pPr>
        <w:numPr>
          <w:ilvl w:val="0"/>
          <w:numId w:val="1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保证历史收益计算的准确性</w:t>
      </w:r>
      <w:r>
        <w:rPr>
          <w:rFonts w:ascii="Arial" w:hAnsi="Arial" w:eastAsia="等线" w:cs="Arial"/>
          <w:sz w:val="22"/>
        </w:rPr>
        <w:t>：后复权价格的计算逻辑，是以股票上市首日的价格作为基准，将后续的所有分红、拆股、转增股本等行为，都进行对应的复权调整，准确反映股票的实际收益水平。在后复权价格的计算方式下，股票的历史价格走势，不会因为后续的分红、拆股等行为，而出现大幅缺口或失真 —— 这是量化回测的标准要求，能保证策略在历史上的真实收益计算，是完全准确且连贯的。</w:t>
      </w:r>
    </w:p>
    <w:p w14:paraId="4B9B4F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需要特别说明的是，后复权价格的使用场景，仅限于策略的回测计算环节 —— 在回测结果的详情页中，展示历史股票买入卖出的实际价格时，果仁网会统一切换为投资者更熟悉的前复权价格。这样的设计，既保证了回测计算的准确性，又方便用户对历史交易价格进行直观的横向比较。</w:t>
      </w:r>
    </w:p>
    <w:p w14:paraId="67AC21B7">
      <w:pPr>
        <w:spacing w:before="300" w:after="120" w:line="288" w:lineRule="auto"/>
        <w:ind w:left="0"/>
        <w:jc w:val="left"/>
        <w:outlineLvl w:val="2"/>
      </w:pPr>
      <w:bookmarkStart w:id="66" w:name="heading_67"/>
      <w:r>
        <w:rPr>
          <w:rFonts w:ascii="Arial" w:hAnsi="Arial" w:eastAsia="等线" w:cs="Arial"/>
          <w:b/>
          <w:sz w:val="30"/>
        </w:rPr>
        <w:t>5.2 策略跟随类问题</w:t>
      </w:r>
      <w:bookmarkEnd w:id="66"/>
    </w:p>
    <w:p w14:paraId="62F3558B">
      <w:pPr>
        <w:spacing w:before="260" w:after="120" w:line="288" w:lineRule="auto"/>
        <w:ind w:left="0"/>
        <w:jc w:val="left"/>
        <w:outlineLvl w:val="3"/>
      </w:pPr>
      <w:bookmarkStart w:id="67" w:name="heading_68"/>
      <w:r>
        <w:rPr>
          <w:rFonts w:ascii="Arial" w:hAnsi="Arial" w:eastAsia="等线" w:cs="Arial"/>
          <w:b/>
          <w:sz w:val="28"/>
        </w:rPr>
        <w:t>5.2.1 跟随策略时，为什么实际买入的股票数量，比策略显示的少？</w:t>
      </w:r>
      <w:bookmarkEnd w:id="67"/>
    </w:p>
    <w:p w14:paraId="121DCF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这是在策略跟随过程中，很容易出现的正常情况。本质原因是：策略的理论选股结果，与实际可交易的股票标的池，存在一定差异。具体来说，有两种常见情况：</w:t>
      </w:r>
    </w:p>
    <w:p w14:paraId="65787246">
      <w:pPr>
        <w:numPr>
          <w:ilvl w:val="0"/>
          <w:numId w:val="1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部分股票不符合实际交易流动性条件</w:t>
      </w:r>
      <w:r>
        <w:rPr>
          <w:rFonts w:ascii="Arial" w:hAnsi="Arial" w:eastAsia="等线" w:cs="Arial"/>
          <w:sz w:val="22"/>
        </w:rPr>
        <w:t>：策略在历史回测时，是基于理想的交易环境计算的，没有考虑实际市场的流动性约束。但在实际交易环境中，部分通过了策略筛选条件的股票，可能会因为停牌、或一字板涨停 / 跌停、或单日流动性不足、或被监管限制交易等客观原因，导致无法按照策略的指令，正常买入或卖出。在这种情况下，为了保证交易的可执行性，系统会自动跳过这些无法交易的标的，从策略的备选股票池中，选择下一个符合交易流动性条件的标的进行替代 —— 这就会导致实际买入的股票数量，比策略的理论选股结果要少。</w:t>
      </w:r>
    </w:p>
    <w:p w14:paraId="5DDC3B35">
      <w:pPr>
        <w:numPr>
          <w:ilvl w:val="0"/>
          <w:numId w:val="1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用户的实际资金规模，与策略的建议仓位不匹配</w:t>
      </w:r>
      <w:r>
        <w:rPr>
          <w:rFonts w:ascii="Arial" w:hAnsi="Arial" w:eastAsia="等线" w:cs="Arial"/>
          <w:sz w:val="22"/>
        </w:rPr>
        <w:t>：果仁网的策略，在设计时默认用户的资金规模，可以完全覆盖策略的建议仓位要求。但在实际跟随策略时，部分用户的实际资金规模，可能不足以买入策略选出的所有股票的建议仓位。比如，策略建议买入 10 只股票，每只股票的建议仓位是总资金的 10%，但用户的实际资金规模，不足以买入其中某只股票的最低买入单位（1 手 = 100 股）。在这种情况下，为了保证交易的可执行性，系统会自动跳过这类因资金规模限制而无法买入的标的，导致实际买入的股票数量，比策略的理论选股结果要少。</w:t>
      </w:r>
    </w:p>
    <w:p w14:paraId="5885D5EA">
      <w:pPr>
        <w:spacing w:before="260" w:after="120" w:line="288" w:lineRule="auto"/>
        <w:ind w:left="0"/>
        <w:jc w:val="left"/>
        <w:outlineLvl w:val="3"/>
      </w:pPr>
      <w:bookmarkStart w:id="68" w:name="heading_69"/>
      <w:r>
        <w:rPr>
          <w:rFonts w:ascii="Arial" w:hAnsi="Arial" w:eastAsia="等线" w:cs="Arial"/>
          <w:b/>
          <w:sz w:val="28"/>
        </w:rPr>
        <w:t>5.2.2 跟随策略的调仓指令，有时间限制吗？</w:t>
      </w:r>
      <w:bookmarkEnd w:id="68"/>
    </w:p>
    <w:p w14:paraId="3C5EE7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有时间限制，且严格依赖券商的实际交易规则。为了保证策略的实际交易效果，与回测结果尽可能匹配，果仁网的策略调仓指令，在每个调仓日的早盘前发布（实时回测的策略调仓指令在策略设置的交易时间点后发布），用户需要在调仓日当天的券商交易时间内，完成对应的买卖操作。</w:t>
      </w:r>
    </w:p>
    <w:p w14:paraId="380E1C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如果用户没有在调仓日当天的交易时间内，及时完成调仓指令的操作，策略的实际交易效果，可能会与预期出现较大偏差 —— 这是因为，调仓日之后的股票价格走势，可能会与策略的回测计算基准出现差异，影响策略的实际收益表现。</w:t>
      </w:r>
    </w:p>
    <w:p w14:paraId="1DF0372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因此，我们建议用户在收到调仓指令后，尽可能于策略设置的交易时间点进行交易操作，以最小化跟踪误差。如果您经常错过调仓指令的操作时间，或者希望进一步减少手动操作的工作量，可以考虑将策略导出到券商端的实盘管家系统，启用全自动交易模式 —— 系统会自动在调仓日的指定交易时间点，完成所有指令的买卖操作。</w:t>
      </w:r>
    </w:p>
    <w:p w14:paraId="5D2C46E1">
      <w:pPr>
        <w:spacing w:before="300" w:after="120" w:line="288" w:lineRule="auto"/>
        <w:ind w:left="0"/>
        <w:jc w:val="left"/>
        <w:outlineLvl w:val="2"/>
      </w:pPr>
      <w:bookmarkStart w:id="69" w:name="heading_70"/>
      <w:r>
        <w:rPr>
          <w:rFonts w:ascii="Arial" w:hAnsi="Arial" w:eastAsia="等线" w:cs="Arial"/>
          <w:b/>
          <w:sz w:val="30"/>
        </w:rPr>
        <w:t>5.3 实盘交易类问题</w:t>
      </w:r>
      <w:bookmarkEnd w:id="69"/>
    </w:p>
    <w:p w14:paraId="27B22240">
      <w:pPr>
        <w:spacing w:before="260" w:after="120" w:line="288" w:lineRule="auto"/>
        <w:ind w:left="0"/>
        <w:jc w:val="left"/>
        <w:outlineLvl w:val="3"/>
      </w:pPr>
      <w:bookmarkStart w:id="70" w:name="heading_71"/>
      <w:r>
        <w:rPr>
          <w:rFonts w:ascii="Arial" w:hAnsi="Arial" w:eastAsia="等线" w:cs="Arial"/>
          <w:b/>
          <w:sz w:val="28"/>
        </w:rPr>
        <w:t>5.3.1 从果仁网导出到券商实盘的策略有效期是多久？</w:t>
      </w:r>
      <w:bookmarkEnd w:id="70"/>
    </w:p>
    <w:p w14:paraId="2BA9C6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策略的导出有效期，与您的果仁网会员权限状态直接相关。具体规则为：</w:t>
      </w:r>
    </w:p>
    <w:p w14:paraId="669179F6">
      <w:pPr>
        <w:numPr>
          <w:ilvl w:val="0"/>
          <w:numId w:val="1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果仁网的 VIP 会员，拥有将策略导出到券商实盘端的权限。但导出的策略，在券商端的实盘管家系统中，有效期是和会员权限状态绑定的 —— 如果您的 VIP 会员权限过期，或会员权限等级被调整，策略的实盘导出权限、以及在券商端的实盘执行权限，都会被同步限制。</w:t>
      </w:r>
    </w:p>
    <w:p w14:paraId="2972328A">
      <w:pPr>
        <w:numPr>
          <w:ilvl w:val="0"/>
          <w:numId w:val="1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对于实时类策略，其在券商端的实盘有效期，与您的至尊会员权限状态直接绑定 —— 只有至尊会员，才有资格将实时类策略导出到券商端的实盘系统中执行；如果您的至尊会员权限过期，这类策略在券商端的实时执行权限，会被自动暂停。</w:t>
      </w:r>
    </w:p>
    <w:p w14:paraId="6A2B0B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需要特别说明的是，在策略的实盘有效期到期前 15 天，用户会在果仁网的实盘管理页面，以及券商端的实盘管家系统中，收到系统发出的 "即将到期" 提醒通知。用户在完成会员权限的续费、或延长策略的导出权限有效期后，需要在果仁网端重新导出一次该策略，然后在券商端的实盘管家系统中，进行一次同步刷新操作，即可批量刷新该策略在券商端的实盘有效期，恢复正常执行。</w:t>
      </w:r>
    </w:p>
    <w:p w14:paraId="702EA926">
      <w:pPr>
        <w:spacing w:before="260" w:after="120" w:line="288" w:lineRule="auto"/>
        <w:ind w:left="0"/>
        <w:jc w:val="left"/>
        <w:outlineLvl w:val="3"/>
      </w:pPr>
      <w:bookmarkStart w:id="71" w:name="heading_72"/>
      <w:r>
        <w:rPr>
          <w:rFonts w:ascii="Arial" w:hAnsi="Arial" w:eastAsia="等线" w:cs="Arial"/>
          <w:b/>
          <w:sz w:val="28"/>
        </w:rPr>
        <w:t>5.3.2 实盘交易时，策略的仓位执行规则是什么？</w:t>
      </w:r>
      <w:bookmarkEnd w:id="71"/>
    </w:p>
    <w:p w14:paraId="2E4CC75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果仁网的策略，在设计时默认采用 "等权重分配仓位" 的规则 —— 这是量化策略中最常用的仓位管理方式，也是最符合长期收益逻辑的规则。</w:t>
      </w:r>
    </w:p>
    <w:p w14:paraId="719FCB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具体来说，策略的仓位执行规则，在不同市场环境下有不同的表现：</w:t>
      </w:r>
    </w:p>
    <w:p w14:paraId="3D8D0442">
      <w:pPr>
        <w:numPr>
          <w:ilvl w:val="0"/>
          <w:numId w:val="1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在默认的全仓交易情况下，系统会将用户的总可用资金，平均分配到策略选出的所有标的上 —— 比如，策略选出了 10 只股票，那么每只股票的买入仓位，就是用户总可用资金的 10%；如果策略选出了 5 只股票，每只股票的买入仓位，就是用户总可用资金的 20%，以此类推。</w:t>
      </w:r>
    </w:p>
    <w:p w14:paraId="538085FB">
      <w:pPr>
        <w:numPr>
          <w:ilvl w:val="0"/>
          <w:numId w:val="1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用户在策略的大盘择时中设置了市场择时条件，系统会先根据择时条件的判断结果，确定策略的整体股票仓位上限；然后，再将实际可用于股票投资的资金，平均分配到策略选出的所有标的上。比如，用户设置了择时仓位上限为 50%，策略选出了 10 只股票，那么每只股票的买入仓位，就是用户总可用资金的 5%（50% 的整体仓位上限，平均分配到 10 只股票上）。</w:t>
      </w:r>
    </w:p>
    <w:p w14:paraId="5FE8B7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在实际交易过程中，针对单只股票的实际买入仓位，可能会因为资金的实际可用余额、或股票的交易流动性限制、或无法成交的标的替代等因素，出现细微的偏差 —— 这是正常情况，不会对策略的长期收益表现造成实质性影响。</w:t>
      </w:r>
    </w:p>
    <w:p w14:paraId="20458692">
      <w:pPr>
        <w:spacing w:before="300" w:after="120" w:line="288" w:lineRule="auto"/>
        <w:ind w:left="0"/>
        <w:jc w:val="left"/>
        <w:outlineLvl w:val="2"/>
      </w:pPr>
      <w:bookmarkStart w:id="72" w:name="heading_73"/>
      <w:r>
        <w:rPr>
          <w:rFonts w:ascii="Arial" w:hAnsi="Arial" w:eastAsia="等线" w:cs="Arial"/>
          <w:b/>
          <w:sz w:val="30"/>
        </w:rPr>
        <w:t>5.4 其他常见问题</w:t>
      </w:r>
      <w:bookmarkEnd w:id="72"/>
    </w:p>
    <w:p w14:paraId="526AE9FE">
      <w:pPr>
        <w:spacing w:before="260" w:after="120" w:line="288" w:lineRule="auto"/>
        <w:ind w:left="0"/>
        <w:jc w:val="left"/>
        <w:outlineLvl w:val="3"/>
      </w:pPr>
      <w:bookmarkStart w:id="73" w:name="heading_74"/>
      <w:r>
        <w:rPr>
          <w:rFonts w:ascii="Arial" w:hAnsi="Arial" w:eastAsia="等线" w:cs="Arial"/>
          <w:b/>
          <w:sz w:val="28"/>
        </w:rPr>
        <w:t>5.4.1 为什么部分股票的财报数据、行情数据，和其他行情软件里看到的数据不一样？</w:t>
      </w:r>
      <w:bookmarkEnd w:id="73"/>
    </w:p>
    <w:p w14:paraId="4DFC0C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这是因为不同平台的数据处理方式、复权基准、更新频率，存在技术层面的差异 —— 这是量化交易平台的常见技术情况，并非平台的数据计算错误。</w:t>
      </w:r>
    </w:p>
    <w:p w14:paraId="4625D4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具体来说，有三个常见原因：</w:t>
      </w:r>
    </w:p>
    <w:p w14:paraId="62D65211">
      <w:pPr>
        <w:numPr>
          <w:ilvl w:val="0"/>
          <w:numId w:val="1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数据的复权基准不同</w:t>
      </w:r>
      <w:r>
        <w:rPr>
          <w:rFonts w:ascii="Arial" w:hAnsi="Arial" w:eastAsia="等线" w:cs="Arial"/>
          <w:sz w:val="22"/>
        </w:rPr>
        <w:t>：果仁网在回测计算时，使用的是后复权价格，而部分行情软件在展示数据时，默认使用的是前复权价格。不同的复权基准，会导致相同指标的数值、或图表走势，出现明显差异 —— 这是最常见的原因。</w:t>
      </w:r>
    </w:p>
    <w:p w14:paraId="2036FF06">
      <w:pPr>
        <w:numPr>
          <w:ilvl w:val="0"/>
          <w:numId w:val="1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数据的处理逻辑不同</w:t>
      </w:r>
      <w:r>
        <w:rPr>
          <w:rFonts w:ascii="Arial" w:hAnsi="Arial" w:eastAsia="等线" w:cs="Arial"/>
          <w:sz w:val="22"/>
        </w:rPr>
        <w:t>：为了保证回测结果的准确性，果仁网对部分原始行情数据、财报数据的处理逻辑，和其他行情软件存在差异 —— 比如对停牌日的剔除处理、对异常值的过滤或修正处理、对财报数据的季节 / 年度同比平滑处理等。这些平台级的数据处理差异，也会导致相同指标的数值，在不同平台上存在细微差异。</w:t>
      </w:r>
    </w:p>
    <w:p w14:paraId="49AB5409">
      <w:pPr>
        <w:numPr>
          <w:ilvl w:val="0"/>
          <w:numId w:val="1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数据的更新频率不同</w:t>
      </w:r>
      <w:r>
        <w:rPr>
          <w:rFonts w:ascii="Arial" w:hAnsi="Arial" w:eastAsia="等线" w:cs="Arial"/>
          <w:sz w:val="22"/>
        </w:rPr>
        <w:t>：果仁网的财报数据、行情数据，更新频率为每日更新；而部分行情软件的数据更新频率，为实时更新或每小时更新 —— 这就会导致在同一个交易日内，相同指标的数值，在不同平台上存在细微的差异。</w:t>
      </w:r>
    </w:p>
    <w:p w14:paraId="6035DD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需要特别强调的是，果仁网的所有数据处理逻辑，都是围绕 "保证回测结果的真实性" 这一核心目标设计的，完全符合量化交易行业的标准要求 —— 不会影响策略的回测结果，也不会影响实际的交易执行。</w:t>
      </w:r>
    </w:p>
    <w:p w14:paraId="4D676D9F">
      <w:pPr>
        <w:spacing w:before="260" w:after="120" w:line="288" w:lineRule="auto"/>
        <w:ind w:left="0"/>
        <w:jc w:val="left"/>
        <w:outlineLvl w:val="3"/>
      </w:pPr>
      <w:bookmarkStart w:id="74" w:name="heading_75"/>
      <w:r>
        <w:rPr>
          <w:rFonts w:ascii="Arial" w:hAnsi="Arial" w:eastAsia="等线" w:cs="Arial"/>
          <w:b/>
          <w:sz w:val="28"/>
        </w:rPr>
        <w:t>5.4.2 如何获取更详细的策略交易日志？</w:t>
      </w:r>
      <w:bookmarkEnd w:id="74"/>
    </w:p>
    <w:p w14:paraId="32CCF8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用户如果需要查看更详细的策略交易日志，可以在策略的详情页中，点击右上角的「导出」按钮，将该策略的所有历史回测数据，导出为 Excel 文件格式。在这个导出的文件中，包含了该策略在所有回测周期内的完整持仓详情、调仓日志、每笔交易的具体成交数据、以及对应的收益变化明细，方便用户进行深入的本地分析。</w:t>
      </w:r>
    </w:p>
    <w:p w14:paraId="19CE18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用户需要查看策略在实盘环境下的实际交易日志，可以登录到券商端的实盘管家系统中，找到对应的策略，点击「交易记录」选项，即可查看该策略在实盘环境下的所有完整交易记录。这些记录包含了每笔交易的实际成交价格、成交时间、成交仓位、以及对应的交易费用明细 —— 这些数据是直接从券商的交易系统中同步获取的，具有绝对的权威性和准确性。</w:t>
      </w:r>
    </w:p>
    <w:p w14:paraId="17AF1927">
      <w:pPr>
        <w:spacing w:before="320" w:after="120" w:line="288" w:lineRule="auto"/>
        <w:ind w:left="0"/>
        <w:jc w:val="left"/>
        <w:outlineLvl w:val="1"/>
        <w:rPr>
          <w:rFonts w:hint="default" w:eastAsia="等线"/>
          <w:lang w:val="en-US" w:eastAsia="zh-CN"/>
        </w:rPr>
      </w:pPr>
      <w:bookmarkStart w:id="75" w:name="heading_76"/>
      <w:r>
        <w:rPr>
          <w:rFonts w:ascii="Arial" w:hAnsi="Arial" w:eastAsia="等线" w:cs="Arial"/>
          <w:b/>
          <w:sz w:val="32"/>
        </w:rPr>
        <w:t>第六部分：</w:t>
      </w:r>
      <w:bookmarkEnd w:id="75"/>
      <w:r>
        <w:rPr>
          <w:rFonts w:hint="eastAsia" w:ascii="Arial" w:hAnsi="Arial" w:eastAsia="等线" w:cs="Arial"/>
          <w:b/>
          <w:sz w:val="32"/>
          <w:lang w:val="en-US" w:eastAsia="zh-CN"/>
        </w:rPr>
        <w:t>官方资源</w:t>
      </w:r>
    </w:p>
    <w:p w14:paraId="567877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果仁网提供了丰富的官方免费学习资源，覆盖了从入门到进阶的所有环节，帮助您快速掌握更专业的策略开发技巧。</w:t>
      </w:r>
    </w:p>
    <w:p w14:paraId="1E6BA6BA">
      <w:pPr>
        <w:numPr>
          <w:ilvl w:val="0"/>
          <w:numId w:val="1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果仁视频课程</w:t>
      </w:r>
      <w:r>
        <w:rPr>
          <w:rFonts w:ascii="Arial" w:hAnsi="Arial" w:eastAsia="等线" w:cs="Arial"/>
          <w:sz w:val="22"/>
        </w:rPr>
        <w:t>：这是果仁网官方出品的系列免费教学课程，由平台的专业量化策略工程师主讲，内容覆盖了从基础的策略构建、回测验证，到进阶的因子组合、择时逻辑设计、策略调优等全流程的知识和实操技巧。课程以通俗易懂的语言，搭配平台的实际操作演示，带您深入学习量化策略的设计逻辑。您可以在果仁网官网的「帮助中心」栏目下的「视频课程」，找到所有系列课程的完整视频及配套教学样例。</w:t>
      </w:r>
    </w:p>
    <w:p w14:paraId="04C5424F">
      <w:pPr>
        <w:numPr>
          <w:ilvl w:val="0"/>
          <w:numId w:val="1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官方论坛社区</w:t>
      </w:r>
      <w:r>
        <w:rPr>
          <w:rFonts w:ascii="Arial" w:hAnsi="Arial" w:eastAsia="等线" w:cs="Arial"/>
          <w:sz w:val="22"/>
        </w:rPr>
        <w:t>：这是果仁网用户的官方交流聚集地，里面有大量官方团队整理的使用技巧教程、优质策略样例分享、常见问题解决方案，以及用户分享的实战经验心得。您可以在论坛的「使用问题」板块，提问您在使用过程中遇到的任何具体问题；也可以在「策略分享」板块，参考其他公开策略的设计逻辑，或者分享您自己的策略开发心得。官方论坛是您获取最</w:t>
      </w:r>
      <w:bookmarkStart w:id="76" w:name="_GoBack"/>
      <w:bookmarkEnd w:id="76"/>
      <w:r>
        <w:rPr>
          <w:rFonts w:ascii="Arial" w:hAnsi="Arial" w:eastAsia="等线" w:cs="Arial"/>
          <w:sz w:val="22"/>
        </w:rPr>
        <w:t>新平台使用技巧、解决个性化问题的最佳渠道。</w:t>
      </w:r>
    </w:p>
    <w:p w14:paraId="6298DB6C">
      <w:pPr>
        <w:numPr>
          <w:ilvl w:val="0"/>
          <w:numId w:val="1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平台内置的策略样例</w:t>
      </w:r>
      <w:r>
        <w:rPr>
          <w:rFonts w:ascii="Arial" w:hAnsi="Arial" w:eastAsia="等线" w:cs="Arial"/>
          <w:sz w:val="22"/>
        </w:rPr>
        <w:t>：果仁网为用户提供了公开策略样例，您可以在个人主页的「收藏的策略」分类下，随时查看、复制，或基于这些优秀策略的逻辑进行二次修改，快速生成符合自己投资理念的新策略。这是学习优秀策略的设计逻辑、提升自己策略开发能力的最便捷路径。</w:t>
      </w:r>
    </w:p>
    <w:p w14:paraId="48C0DB74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4052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D480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singleLevel"/>
    <w:tmpl w:val="804E4E2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13A4B87"/>
    <w:multiLevelType w:val="singleLevel"/>
    <w:tmpl w:val="813A4B8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825EC3C5"/>
    <w:multiLevelType w:val="singleLevel"/>
    <w:tmpl w:val="825EC3C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45B5372"/>
    <w:multiLevelType w:val="singleLevel"/>
    <w:tmpl w:val="845B537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">
    <w:nsid w:val="8461FADE"/>
    <w:multiLevelType w:val="singleLevel"/>
    <w:tmpl w:val="8461FAD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">
    <w:nsid w:val="87B75F0A"/>
    <w:multiLevelType w:val="singleLevel"/>
    <w:tmpl w:val="87B75F0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883B3669"/>
    <w:multiLevelType w:val="singleLevel"/>
    <w:tmpl w:val="883B366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8CAEB125"/>
    <w:multiLevelType w:val="singleLevel"/>
    <w:tmpl w:val="8CAEB1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91995D4F"/>
    <w:multiLevelType w:val="singleLevel"/>
    <w:tmpl w:val="91995D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91B69C97"/>
    <w:multiLevelType w:val="singleLevel"/>
    <w:tmpl w:val="91B69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9239341B"/>
    <w:multiLevelType w:val="singleLevel"/>
    <w:tmpl w:val="9239341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9377BC45"/>
    <w:multiLevelType w:val="singleLevel"/>
    <w:tmpl w:val="9377BC4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95E682A1"/>
    <w:multiLevelType w:val="singleLevel"/>
    <w:tmpl w:val="95E682A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">
    <w:nsid w:val="98CD717A"/>
    <w:multiLevelType w:val="singleLevel"/>
    <w:tmpl w:val="98CD717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9ACF65A0"/>
    <w:multiLevelType w:val="singleLevel"/>
    <w:tmpl w:val="9ACF65A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9C11E984"/>
    <w:multiLevelType w:val="singleLevel"/>
    <w:tmpl w:val="9C11E9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9C7198AA"/>
    <w:multiLevelType w:val="singleLevel"/>
    <w:tmpl w:val="9C7198A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9C8AC8EF"/>
    <w:multiLevelType w:val="singleLevel"/>
    <w:tmpl w:val="9C8AC8E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">
    <w:nsid w:val="9D5D7490"/>
    <w:multiLevelType w:val="singleLevel"/>
    <w:tmpl w:val="9D5D749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9D7EB8E6"/>
    <w:multiLevelType w:val="singleLevel"/>
    <w:tmpl w:val="9D7EB8E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9DFC6F65"/>
    <w:multiLevelType w:val="singleLevel"/>
    <w:tmpl w:val="9DFC6F6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9F81B9F9"/>
    <w:multiLevelType w:val="singleLevel"/>
    <w:tmpl w:val="9F81B9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A0C93552"/>
    <w:multiLevelType w:val="singleLevel"/>
    <w:tmpl w:val="A0C9355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4">
    <w:nsid w:val="A0F05207"/>
    <w:multiLevelType w:val="singleLevel"/>
    <w:tmpl w:val="A0F0520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A97D620A"/>
    <w:multiLevelType w:val="singleLevel"/>
    <w:tmpl w:val="A97D620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6">
    <w:nsid w:val="A9AC3AA7"/>
    <w:multiLevelType w:val="singleLevel"/>
    <w:tmpl w:val="A9AC3A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7">
    <w:nsid w:val="AAF3F3FA"/>
    <w:multiLevelType w:val="singleLevel"/>
    <w:tmpl w:val="AAF3F3F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B08374AC"/>
    <w:multiLevelType w:val="singleLevel"/>
    <w:tmpl w:val="B08374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9">
    <w:nsid w:val="B0ED9BEA"/>
    <w:multiLevelType w:val="singleLevel"/>
    <w:tmpl w:val="B0ED9BE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B1CC6FF1"/>
    <w:multiLevelType w:val="singleLevel"/>
    <w:tmpl w:val="B1CC6FF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2">
    <w:nsid w:val="B23A94A9"/>
    <w:multiLevelType w:val="singleLevel"/>
    <w:tmpl w:val="B23A94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3">
    <w:nsid w:val="B4E02BC3"/>
    <w:multiLevelType w:val="singleLevel"/>
    <w:tmpl w:val="B4E02BC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4">
    <w:nsid w:val="B53F3350"/>
    <w:multiLevelType w:val="singleLevel"/>
    <w:tmpl w:val="B53F3350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5">
    <w:nsid w:val="B5E306ED"/>
    <w:multiLevelType w:val="singleLevel"/>
    <w:tmpl w:val="B5E306E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6">
    <w:nsid w:val="B88D21A8"/>
    <w:multiLevelType w:val="singleLevel"/>
    <w:tmpl w:val="B88D21A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B8CEF35B"/>
    <w:multiLevelType w:val="singleLevel"/>
    <w:tmpl w:val="B8CEF3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8">
    <w:nsid w:val="BB64CFA9"/>
    <w:multiLevelType w:val="singleLevel"/>
    <w:tmpl w:val="BB64CF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BCECA0B4"/>
    <w:multiLevelType w:val="singleLevel"/>
    <w:tmpl w:val="BCECA0B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0">
    <w:nsid w:val="BDA1395C"/>
    <w:multiLevelType w:val="singleLevel"/>
    <w:tmpl w:val="BDA1395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BE8A4F4C"/>
    <w:multiLevelType w:val="singleLevel"/>
    <w:tmpl w:val="BE8A4F4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2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4">
    <w:nsid w:val="BF50FE6B"/>
    <w:multiLevelType w:val="singleLevel"/>
    <w:tmpl w:val="BF50FE6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5">
    <w:nsid w:val="C0915F4F"/>
    <w:multiLevelType w:val="singleLevel"/>
    <w:tmpl w:val="C0915F4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6">
    <w:nsid w:val="C4E0D24A"/>
    <w:multiLevelType w:val="singleLevel"/>
    <w:tmpl w:val="C4E0D24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7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8">
    <w:nsid w:val="C90D1B09"/>
    <w:multiLevelType w:val="singleLevel"/>
    <w:tmpl w:val="C90D1B0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9">
    <w:nsid w:val="C9412743"/>
    <w:multiLevelType w:val="singleLevel"/>
    <w:tmpl w:val="C941274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0">
    <w:nsid w:val="CD699D1D"/>
    <w:multiLevelType w:val="singleLevel"/>
    <w:tmpl w:val="CD699D1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1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2">
    <w:nsid w:val="D1EB1714"/>
    <w:multiLevelType w:val="singleLevel"/>
    <w:tmpl w:val="D1EB171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3">
    <w:nsid w:val="D7936317"/>
    <w:multiLevelType w:val="singleLevel"/>
    <w:tmpl w:val="D793631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4">
    <w:nsid w:val="D7D140E4"/>
    <w:multiLevelType w:val="singleLevel"/>
    <w:tmpl w:val="D7D140E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5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6">
    <w:nsid w:val="DAD3A854"/>
    <w:multiLevelType w:val="singleLevel"/>
    <w:tmpl w:val="DAD3A85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7">
    <w:nsid w:val="DAE62134"/>
    <w:multiLevelType w:val="singleLevel"/>
    <w:tmpl w:val="DAE621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8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9">
    <w:nsid w:val="E0294EC7"/>
    <w:multiLevelType w:val="singleLevel"/>
    <w:tmpl w:val="E0294EC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0">
    <w:nsid w:val="E093A4B0"/>
    <w:multiLevelType w:val="singleLevel"/>
    <w:tmpl w:val="E093A4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1">
    <w:nsid w:val="E43A772E"/>
    <w:multiLevelType w:val="singleLevel"/>
    <w:tmpl w:val="E43A772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2">
    <w:nsid w:val="E504947C"/>
    <w:multiLevelType w:val="singleLevel"/>
    <w:tmpl w:val="E504947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63">
    <w:nsid w:val="E52D9448"/>
    <w:multiLevelType w:val="singleLevel"/>
    <w:tmpl w:val="E52D944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4">
    <w:nsid w:val="E7B27C5B"/>
    <w:multiLevelType w:val="singleLevel"/>
    <w:tmpl w:val="E7B27C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5">
    <w:nsid w:val="EA28CC15"/>
    <w:multiLevelType w:val="singleLevel"/>
    <w:tmpl w:val="EA28CC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6">
    <w:nsid w:val="F0E89278"/>
    <w:multiLevelType w:val="singleLevel"/>
    <w:tmpl w:val="F0E89278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7">
    <w:nsid w:val="F1FCDEFA"/>
    <w:multiLevelType w:val="singleLevel"/>
    <w:tmpl w:val="F1FCDEF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8">
    <w:nsid w:val="F237ACA1"/>
    <w:multiLevelType w:val="singleLevel"/>
    <w:tmpl w:val="F237ACA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9">
    <w:nsid w:val="F2A81E1A"/>
    <w:multiLevelType w:val="singleLevel"/>
    <w:tmpl w:val="F2A81E1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0">
    <w:nsid w:val="F3A33954"/>
    <w:multiLevelType w:val="singleLevel"/>
    <w:tmpl w:val="F3A3395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1">
    <w:nsid w:val="F46CCC20"/>
    <w:multiLevelType w:val="singleLevel"/>
    <w:tmpl w:val="F46CCC2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2">
    <w:nsid w:val="F4A942FE"/>
    <w:multiLevelType w:val="singleLevel"/>
    <w:tmpl w:val="F4A942F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3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4">
    <w:nsid w:val="F585BF25"/>
    <w:multiLevelType w:val="singleLevel"/>
    <w:tmpl w:val="F585BF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5">
    <w:nsid w:val="F689643B"/>
    <w:multiLevelType w:val="singleLevel"/>
    <w:tmpl w:val="F689643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6">
    <w:nsid w:val="F7735DC9"/>
    <w:multiLevelType w:val="singleLevel"/>
    <w:tmpl w:val="F7735DC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7">
    <w:nsid w:val="FEC2EA36"/>
    <w:multiLevelType w:val="singleLevel"/>
    <w:tmpl w:val="FEC2EA3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78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9">
    <w:nsid w:val="01836A6D"/>
    <w:multiLevelType w:val="singleLevel"/>
    <w:tmpl w:val="01836A6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0">
    <w:nsid w:val="01D7E1C7"/>
    <w:multiLevelType w:val="singleLevel"/>
    <w:tmpl w:val="01D7E1C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1">
    <w:nsid w:val="0248C179"/>
    <w:multiLevelType w:val="singleLevel"/>
    <w:tmpl w:val="0248C17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82">
    <w:nsid w:val="03A63A41"/>
    <w:multiLevelType w:val="singleLevel"/>
    <w:tmpl w:val="03A63A41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3">
    <w:nsid w:val="03C240C0"/>
    <w:multiLevelType w:val="singleLevel"/>
    <w:tmpl w:val="03C240C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4">
    <w:nsid w:val="03D62ECE"/>
    <w:multiLevelType w:val="singleLevel"/>
    <w:tmpl w:val="03D62ECE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85">
    <w:nsid w:val="0709FD3E"/>
    <w:multiLevelType w:val="singleLevel"/>
    <w:tmpl w:val="0709FD3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6">
    <w:nsid w:val="07F5BCC3"/>
    <w:multiLevelType w:val="singleLevel"/>
    <w:tmpl w:val="07F5BCC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7">
    <w:nsid w:val="0C0E1E13"/>
    <w:multiLevelType w:val="singleLevel"/>
    <w:tmpl w:val="0C0E1E1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8">
    <w:nsid w:val="0CEF100B"/>
    <w:multiLevelType w:val="singleLevel"/>
    <w:tmpl w:val="0CEF100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9">
    <w:nsid w:val="0DC629B0"/>
    <w:multiLevelType w:val="singleLevel"/>
    <w:tmpl w:val="0DC629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0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1">
    <w:nsid w:val="0F9F9CCA"/>
    <w:multiLevelType w:val="singleLevel"/>
    <w:tmpl w:val="0F9F9CC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2">
    <w:nsid w:val="10D591E5"/>
    <w:multiLevelType w:val="singleLevel"/>
    <w:tmpl w:val="10D591E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3">
    <w:nsid w:val="10F0DB0B"/>
    <w:multiLevelType w:val="singleLevel"/>
    <w:tmpl w:val="10F0DB0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4">
    <w:nsid w:val="12EADF99"/>
    <w:multiLevelType w:val="singleLevel"/>
    <w:tmpl w:val="12EADF9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5">
    <w:nsid w:val="1450273B"/>
    <w:multiLevelType w:val="singleLevel"/>
    <w:tmpl w:val="1450273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6">
    <w:nsid w:val="18F74015"/>
    <w:multiLevelType w:val="singleLevel"/>
    <w:tmpl w:val="18F7401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7">
    <w:nsid w:val="1ACDE60F"/>
    <w:multiLevelType w:val="singleLevel"/>
    <w:tmpl w:val="1ACDE60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98">
    <w:nsid w:val="1AD50295"/>
    <w:multiLevelType w:val="singleLevel"/>
    <w:tmpl w:val="1AD5029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9">
    <w:nsid w:val="1BCBBCF0"/>
    <w:multiLevelType w:val="singleLevel"/>
    <w:tmpl w:val="1BCBBCF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0">
    <w:nsid w:val="1C257C7B"/>
    <w:multiLevelType w:val="singleLevel"/>
    <w:tmpl w:val="1C257C7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1">
    <w:nsid w:val="2007DCFD"/>
    <w:multiLevelType w:val="singleLevel"/>
    <w:tmpl w:val="2007DCF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2">
    <w:nsid w:val="21B3B1B1"/>
    <w:multiLevelType w:val="singleLevel"/>
    <w:tmpl w:val="21B3B1B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3">
    <w:nsid w:val="227C9188"/>
    <w:multiLevelType w:val="singleLevel"/>
    <w:tmpl w:val="227C918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4">
    <w:nsid w:val="23E97754"/>
    <w:multiLevelType w:val="singleLevel"/>
    <w:tmpl w:val="23E9775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05">
    <w:nsid w:val="243FCF68"/>
    <w:multiLevelType w:val="singleLevel"/>
    <w:tmpl w:val="243FCF6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6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7">
    <w:nsid w:val="251342A6"/>
    <w:multiLevelType w:val="singleLevel"/>
    <w:tmpl w:val="251342A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8">
    <w:nsid w:val="252BF6AB"/>
    <w:multiLevelType w:val="singleLevel"/>
    <w:tmpl w:val="252BF6A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9">
    <w:nsid w:val="25B654F3"/>
    <w:multiLevelType w:val="singleLevel"/>
    <w:tmpl w:val="25B654F3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10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1">
    <w:nsid w:val="2B3F3F89"/>
    <w:multiLevelType w:val="singleLevel"/>
    <w:tmpl w:val="2B3F3F8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2">
    <w:nsid w:val="2F2D79CE"/>
    <w:multiLevelType w:val="singleLevel"/>
    <w:tmpl w:val="2F2D79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3">
    <w:nsid w:val="30A0AC00"/>
    <w:multiLevelType w:val="singleLevel"/>
    <w:tmpl w:val="30A0AC00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4">
    <w:nsid w:val="30FC5B15"/>
    <w:multiLevelType w:val="singleLevel"/>
    <w:tmpl w:val="30FC5B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5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6">
    <w:nsid w:val="32A7AF2D"/>
    <w:multiLevelType w:val="singleLevel"/>
    <w:tmpl w:val="32A7AF2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7">
    <w:nsid w:val="35E83B33"/>
    <w:multiLevelType w:val="singleLevel"/>
    <w:tmpl w:val="35E83B3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8">
    <w:nsid w:val="38EAC418"/>
    <w:multiLevelType w:val="singleLevel"/>
    <w:tmpl w:val="38EAC41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19">
    <w:nsid w:val="39A0D9AC"/>
    <w:multiLevelType w:val="singleLevel"/>
    <w:tmpl w:val="39A0D9AC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0">
    <w:nsid w:val="3A7FBA26"/>
    <w:multiLevelType w:val="singleLevel"/>
    <w:tmpl w:val="3A7FBA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1">
    <w:nsid w:val="3B8127DF"/>
    <w:multiLevelType w:val="singleLevel"/>
    <w:tmpl w:val="3B8127D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2">
    <w:nsid w:val="3FE315B6"/>
    <w:multiLevelType w:val="singleLevel"/>
    <w:tmpl w:val="3FE315B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3">
    <w:nsid w:val="40B249F9"/>
    <w:multiLevelType w:val="singleLevel"/>
    <w:tmpl w:val="40B249F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4">
    <w:nsid w:val="40F245EA"/>
    <w:multiLevelType w:val="singleLevel"/>
    <w:tmpl w:val="40F245E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5">
    <w:nsid w:val="4258023A"/>
    <w:multiLevelType w:val="singleLevel"/>
    <w:tmpl w:val="4258023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6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7">
    <w:nsid w:val="4A51D704"/>
    <w:multiLevelType w:val="singleLevel"/>
    <w:tmpl w:val="4A51D70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8">
    <w:nsid w:val="4AD1D84F"/>
    <w:multiLevelType w:val="singleLevel"/>
    <w:tmpl w:val="4AD1D8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9">
    <w:nsid w:val="4C1BAE26"/>
    <w:multiLevelType w:val="singleLevel"/>
    <w:tmpl w:val="4C1BAE2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0">
    <w:nsid w:val="4C3D7A74"/>
    <w:multiLevelType w:val="singleLevel"/>
    <w:tmpl w:val="4C3D7A7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1">
    <w:nsid w:val="4CD1E351"/>
    <w:multiLevelType w:val="singleLevel"/>
    <w:tmpl w:val="4CD1E35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2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3">
    <w:nsid w:val="4D63189B"/>
    <w:multiLevelType w:val="singleLevel"/>
    <w:tmpl w:val="4D63189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4">
    <w:nsid w:val="4D94DA66"/>
    <w:multiLevelType w:val="singleLevel"/>
    <w:tmpl w:val="4D94DA6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5">
    <w:nsid w:val="4FB438A5"/>
    <w:multiLevelType w:val="singleLevel"/>
    <w:tmpl w:val="4FB438A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6">
    <w:nsid w:val="51C4BC33"/>
    <w:multiLevelType w:val="singleLevel"/>
    <w:tmpl w:val="51C4BC3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7">
    <w:nsid w:val="54701CA1"/>
    <w:multiLevelType w:val="singleLevel"/>
    <w:tmpl w:val="54701CA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8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9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40">
    <w:nsid w:val="59EEFD2A"/>
    <w:multiLevelType w:val="singleLevel"/>
    <w:tmpl w:val="59EEFD2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1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2">
    <w:nsid w:val="5E29AB5A"/>
    <w:multiLevelType w:val="singleLevel"/>
    <w:tmpl w:val="5E29AB5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3">
    <w:nsid w:val="5FCE4367"/>
    <w:multiLevelType w:val="singleLevel"/>
    <w:tmpl w:val="5FCE436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4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5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6">
    <w:nsid w:val="610EFE5C"/>
    <w:multiLevelType w:val="singleLevel"/>
    <w:tmpl w:val="610EFE5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7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8">
    <w:nsid w:val="65CD0074"/>
    <w:multiLevelType w:val="singleLevel"/>
    <w:tmpl w:val="65CD00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9">
    <w:nsid w:val="68B298F7"/>
    <w:multiLevelType w:val="singleLevel"/>
    <w:tmpl w:val="68B298F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0">
    <w:nsid w:val="6AFC2A1C"/>
    <w:multiLevelType w:val="singleLevel"/>
    <w:tmpl w:val="6AFC2A1C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51">
    <w:nsid w:val="6D423078"/>
    <w:multiLevelType w:val="singleLevel"/>
    <w:tmpl w:val="6D42307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2">
    <w:nsid w:val="700FDCEF"/>
    <w:multiLevelType w:val="singleLevel"/>
    <w:tmpl w:val="700FDCE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53">
    <w:nsid w:val="72183CF9"/>
    <w:multiLevelType w:val="singleLevel"/>
    <w:tmpl w:val="72183CF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4">
    <w:nsid w:val="74C28B35"/>
    <w:multiLevelType w:val="singleLevel"/>
    <w:tmpl w:val="74C28B3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55">
    <w:nsid w:val="77633216"/>
    <w:multiLevelType w:val="singleLevel"/>
    <w:tmpl w:val="7763321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6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7">
    <w:nsid w:val="79AA4FA4"/>
    <w:multiLevelType w:val="singleLevel"/>
    <w:tmpl w:val="79AA4FA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8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9">
    <w:nsid w:val="7DEC2089"/>
    <w:multiLevelType w:val="singleLevel"/>
    <w:tmpl w:val="7DEC208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78"/>
  </w:num>
  <w:num w:numId="2">
    <w:abstractNumId w:val="51"/>
  </w:num>
  <w:num w:numId="3">
    <w:abstractNumId w:val="139"/>
  </w:num>
  <w:num w:numId="4">
    <w:abstractNumId w:val="43"/>
  </w:num>
  <w:num w:numId="5">
    <w:abstractNumId w:val="35"/>
  </w:num>
  <w:num w:numId="6">
    <w:abstractNumId w:val="84"/>
  </w:num>
  <w:num w:numId="7">
    <w:abstractNumId w:val="109"/>
  </w:num>
  <w:num w:numId="8">
    <w:abstractNumId w:val="153"/>
  </w:num>
  <w:num w:numId="9">
    <w:abstractNumId w:val="81"/>
  </w:num>
  <w:num w:numId="10">
    <w:abstractNumId w:val="10"/>
  </w:num>
  <w:num w:numId="11">
    <w:abstractNumId w:val="110"/>
  </w:num>
  <w:num w:numId="12">
    <w:abstractNumId w:val="141"/>
  </w:num>
  <w:num w:numId="13">
    <w:abstractNumId w:val="47"/>
  </w:num>
  <w:num w:numId="14">
    <w:abstractNumId w:val="132"/>
  </w:num>
  <w:num w:numId="15">
    <w:abstractNumId w:val="73"/>
  </w:num>
  <w:num w:numId="16">
    <w:abstractNumId w:val="106"/>
  </w:num>
  <w:num w:numId="17">
    <w:abstractNumId w:val="58"/>
  </w:num>
  <w:num w:numId="18">
    <w:abstractNumId w:val="55"/>
  </w:num>
  <w:num w:numId="19">
    <w:abstractNumId w:val="18"/>
  </w:num>
  <w:num w:numId="20">
    <w:abstractNumId w:val="129"/>
  </w:num>
  <w:num w:numId="21">
    <w:abstractNumId w:val="145"/>
  </w:num>
  <w:num w:numId="22">
    <w:abstractNumId w:val="90"/>
  </w:num>
  <w:num w:numId="23">
    <w:abstractNumId w:val="126"/>
  </w:num>
  <w:num w:numId="24">
    <w:abstractNumId w:val="30"/>
  </w:num>
  <w:num w:numId="25">
    <w:abstractNumId w:val="158"/>
  </w:num>
  <w:num w:numId="26">
    <w:abstractNumId w:val="156"/>
  </w:num>
  <w:num w:numId="27">
    <w:abstractNumId w:val="42"/>
  </w:num>
  <w:num w:numId="28">
    <w:abstractNumId w:val="147"/>
  </w:num>
  <w:num w:numId="29">
    <w:abstractNumId w:val="11"/>
  </w:num>
  <w:num w:numId="30">
    <w:abstractNumId w:val="119"/>
  </w:num>
  <w:num w:numId="31">
    <w:abstractNumId w:val="4"/>
  </w:num>
  <w:num w:numId="32">
    <w:abstractNumId w:val="138"/>
  </w:num>
  <w:num w:numId="33">
    <w:abstractNumId w:val="159"/>
  </w:num>
  <w:num w:numId="34">
    <w:abstractNumId w:val="1"/>
  </w:num>
  <w:num w:numId="35">
    <w:abstractNumId w:val="105"/>
  </w:num>
  <w:num w:numId="36">
    <w:abstractNumId w:val="134"/>
  </w:num>
  <w:num w:numId="37">
    <w:abstractNumId w:val="76"/>
  </w:num>
  <w:num w:numId="38">
    <w:abstractNumId w:val="60"/>
  </w:num>
  <w:num w:numId="39">
    <w:abstractNumId w:val="114"/>
  </w:num>
  <w:num w:numId="40">
    <w:abstractNumId w:val="157"/>
  </w:num>
  <w:num w:numId="41">
    <w:abstractNumId w:val="38"/>
  </w:num>
  <w:num w:numId="42">
    <w:abstractNumId w:val="8"/>
  </w:num>
  <w:num w:numId="43">
    <w:abstractNumId w:val="37"/>
  </w:num>
  <w:num w:numId="44">
    <w:abstractNumId w:val="142"/>
  </w:num>
  <w:num w:numId="45">
    <w:abstractNumId w:val="3"/>
  </w:num>
  <w:num w:numId="46">
    <w:abstractNumId w:val="97"/>
  </w:num>
  <w:num w:numId="47">
    <w:abstractNumId w:val="7"/>
  </w:num>
  <w:num w:numId="48">
    <w:abstractNumId w:val="144"/>
  </w:num>
  <w:num w:numId="49">
    <w:abstractNumId w:val="154"/>
  </w:num>
  <w:num w:numId="50">
    <w:abstractNumId w:val="130"/>
  </w:num>
  <w:num w:numId="51">
    <w:abstractNumId w:val="115"/>
  </w:num>
  <w:num w:numId="52">
    <w:abstractNumId w:val="148"/>
  </w:num>
  <w:num w:numId="53">
    <w:abstractNumId w:val="85"/>
  </w:num>
  <w:num w:numId="54">
    <w:abstractNumId w:val="88"/>
  </w:num>
  <w:num w:numId="55">
    <w:abstractNumId w:val="54"/>
  </w:num>
  <w:num w:numId="56">
    <w:abstractNumId w:val="116"/>
  </w:num>
  <w:num w:numId="57">
    <w:abstractNumId w:val="100"/>
  </w:num>
  <w:num w:numId="58">
    <w:abstractNumId w:val="66"/>
  </w:num>
  <w:num w:numId="59">
    <w:abstractNumId w:val="104"/>
  </w:num>
  <w:num w:numId="60">
    <w:abstractNumId w:val="34"/>
  </w:num>
  <w:num w:numId="61">
    <w:abstractNumId w:val="123"/>
  </w:num>
  <w:num w:numId="62">
    <w:abstractNumId w:val="91"/>
  </w:num>
  <w:num w:numId="63">
    <w:abstractNumId w:val="117"/>
  </w:num>
  <w:num w:numId="64">
    <w:abstractNumId w:val="82"/>
  </w:num>
  <w:num w:numId="65">
    <w:abstractNumId w:val="45"/>
  </w:num>
  <w:num w:numId="66">
    <w:abstractNumId w:val="94"/>
  </w:num>
  <w:num w:numId="67">
    <w:abstractNumId w:val="32"/>
  </w:num>
  <w:num w:numId="68">
    <w:abstractNumId w:val="121"/>
  </w:num>
  <w:num w:numId="69">
    <w:abstractNumId w:val="24"/>
  </w:num>
  <w:num w:numId="70">
    <w:abstractNumId w:val="75"/>
  </w:num>
  <w:num w:numId="71">
    <w:abstractNumId w:val="113"/>
  </w:num>
  <w:num w:numId="72">
    <w:abstractNumId w:val="77"/>
  </w:num>
  <w:num w:numId="73">
    <w:abstractNumId w:val="96"/>
  </w:num>
  <w:num w:numId="74">
    <w:abstractNumId w:val="152"/>
  </w:num>
  <w:num w:numId="75">
    <w:abstractNumId w:val="62"/>
  </w:num>
  <w:num w:numId="76">
    <w:abstractNumId w:val="46"/>
  </w:num>
  <w:num w:numId="77">
    <w:abstractNumId w:val="23"/>
  </w:num>
  <w:num w:numId="78">
    <w:abstractNumId w:val="155"/>
  </w:num>
  <w:num w:numId="79">
    <w:abstractNumId w:val="56"/>
  </w:num>
  <w:num w:numId="80">
    <w:abstractNumId w:val="36"/>
  </w:num>
  <w:num w:numId="81">
    <w:abstractNumId w:val="112"/>
  </w:num>
  <w:num w:numId="82">
    <w:abstractNumId w:val="64"/>
  </w:num>
  <w:num w:numId="83">
    <w:abstractNumId w:val="15"/>
  </w:num>
  <w:num w:numId="84">
    <w:abstractNumId w:val="140"/>
  </w:num>
  <w:num w:numId="85">
    <w:abstractNumId w:val="40"/>
  </w:num>
  <w:num w:numId="86">
    <w:abstractNumId w:val="29"/>
  </w:num>
  <w:num w:numId="87">
    <w:abstractNumId w:val="12"/>
  </w:num>
  <w:num w:numId="88">
    <w:abstractNumId w:val="19"/>
  </w:num>
  <w:num w:numId="89">
    <w:abstractNumId w:val="27"/>
  </w:num>
  <w:num w:numId="90">
    <w:abstractNumId w:val="9"/>
  </w:num>
  <w:num w:numId="91">
    <w:abstractNumId w:val="99"/>
  </w:num>
  <w:num w:numId="92">
    <w:abstractNumId w:val="41"/>
  </w:num>
  <w:num w:numId="93">
    <w:abstractNumId w:val="95"/>
  </w:num>
  <w:num w:numId="94">
    <w:abstractNumId w:val="52"/>
  </w:num>
  <w:num w:numId="95">
    <w:abstractNumId w:val="149"/>
  </w:num>
  <w:num w:numId="96">
    <w:abstractNumId w:val="0"/>
  </w:num>
  <w:num w:numId="97">
    <w:abstractNumId w:val="39"/>
  </w:num>
  <w:num w:numId="98">
    <w:abstractNumId w:val="74"/>
  </w:num>
  <w:num w:numId="99">
    <w:abstractNumId w:val="131"/>
  </w:num>
  <w:num w:numId="100">
    <w:abstractNumId w:val="92"/>
  </w:num>
  <w:num w:numId="101">
    <w:abstractNumId w:val="16"/>
  </w:num>
  <w:num w:numId="102">
    <w:abstractNumId w:val="59"/>
  </w:num>
  <w:num w:numId="103">
    <w:abstractNumId w:val="98"/>
  </w:num>
  <w:num w:numId="104">
    <w:abstractNumId w:val="127"/>
  </w:num>
  <w:num w:numId="105">
    <w:abstractNumId w:val="26"/>
  </w:num>
  <w:num w:numId="106">
    <w:abstractNumId w:val="146"/>
  </w:num>
  <w:num w:numId="107">
    <w:abstractNumId w:val="2"/>
  </w:num>
  <w:num w:numId="108">
    <w:abstractNumId w:val="6"/>
  </w:num>
  <w:num w:numId="109">
    <w:abstractNumId w:val="79"/>
  </w:num>
  <w:num w:numId="110">
    <w:abstractNumId w:val="22"/>
  </w:num>
  <w:num w:numId="111">
    <w:abstractNumId w:val="44"/>
  </w:num>
  <w:num w:numId="112">
    <w:abstractNumId w:val="48"/>
  </w:num>
  <w:num w:numId="113">
    <w:abstractNumId w:val="72"/>
  </w:num>
  <w:num w:numId="114">
    <w:abstractNumId w:val="143"/>
  </w:num>
  <w:num w:numId="115">
    <w:abstractNumId w:val="70"/>
  </w:num>
  <w:num w:numId="116">
    <w:abstractNumId w:val="137"/>
  </w:num>
  <w:num w:numId="117">
    <w:abstractNumId w:val="102"/>
  </w:num>
  <w:num w:numId="118">
    <w:abstractNumId w:val="14"/>
  </w:num>
  <w:num w:numId="119">
    <w:abstractNumId w:val="83"/>
  </w:num>
  <w:num w:numId="120">
    <w:abstractNumId w:val="21"/>
  </w:num>
  <w:num w:numId="121">
    <w:abstractNumId w:val="111"/>
  </w:num>
  <w:num w:numId="122">
    <w:abstractNumId w:val="136"/>
  </w:num>
  <w:num w:numId="123">
    <w:abstractNumId w:val="50"/>
  </w:num>
  <w:num w:numId="124">
    <w:abstractNumId w:val="17"/>
  </w:num>
  <w:num w:numId="125">
    <w:abstractNumId w:val="107"/>
  </w:num>
  <w:num w:numId="126">
    <w:abstractNumId w:val="124"/>
  </w:num>
  <w:num w:numId="127">
    <w:abstractNumId w:val="93"/>
  </w:num>
  <w:num w:numId="128">
    <w:abstractNumId w:val="133"/>
  </w:num>
  <w:num w:numId="129">
    <w:abstractNumId w:val="135"/>
  </w:num>
  <w:num w:numId="130">
    <w:abstractNumId w:val="103"/>
  </w:num>
  <w:num w:numId="131">
    <w:abstractNumId w:val="63"/>
  </w:num>
  <w:num w:numId="132">
    <w:abstractNumId w:val="20"/>
  </w:num>
  <w:num w:numId="133">
    <w:abstractNumId w:val="120"/>
  </w:num>
  <w:num w:numId="134">
    <w:abstractNumId w:val="122"/>
  </w:num>
  <w:num w:numId="135">
    <w:abstractNumId w:val="89"/>
  </w:num>
  <w:num w:numId="136">
    <w:abstractNumId w:val="151"/>
  </w:num>
  <w:num w:numId="137">
    <w:abstractNumId w:val="61"/>
  </w:num>
  <w:num w:numId="138">
    <w:abstractNumId w:val="101"/>
  </w:num>
  <w:num w:numId="139">
    <w:abstractNumId w:val="87"/>
  </w:num>
  <w:num w:numId="140">
    <w:abstractNumId w:val="65"/>
  </w:num>
  <w:num w:numId="141">
    <w:abstractNumId w:val="68"/>
  </w:num>
  <w:num w:numId="142">
    <w:abstractNumId w:val="53"/>
  </w:num>
  <w:num w:numId="143">
    <w:abstractNumId w:val="125"/>
  </w:num>
  <w:num w:numId="144">
    <w:abstractNumId w:val="71"/>
  </w:num>
  <w:num w:numId="145">
    <w:abstractNumId w:val="13"/>
  </w:num>
  <w:num w:numId="146">
    <w:abstractNumId w:val="67"/>
  </w:num>
  <w:num w:numId="147">
    <w:abstractNumId w:val="80"/>
  </w:num>
  <w:num w:numId="148">
    <w:abstractNumId w:val="49"/>
  </w:num>
  <w:num w:numId="149">
    <w:abstractNumId w:val="118"/>
  </w:num>
  <w:num w:numId="150">
    <w:abstractNumId w:val="150"/>
  </w:num>
  <w:num w:numId="151">
    <w:abstractNumId w:val="57"/>
  </w:num>
  <w:num w:numId="152">
    <w:abstractNumId w:val="25"/>
  </w:num>
  <w:num w:numId="153">
    <w:abstractNumId w:val="5"/>
  </w:num>
  <w:num w:numId="154">
    <w:abstractNumId w:val="28"/>
  </w:num>
  <w:num w:numId="155">
    <w:abstractNumId w:val="86"/>
  </w:num>
  <w:num w:numId="156">
    <w:abstractNumId w:val="33"/>
  </w:num>
  <w:num w:numId="157">
    <w:abstractNumId w:val="69"/>
  </w:num>
  <w:num w:numId="158">
    <w:abstractNumId w:val="108"/>
  </w:num>
  <w:num w:numId="159">
    <w:abstractNumId w:val="128"/>
  </w:num>
  <w:num w:numId="1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49296522"/>
    <w:rsid w:val="7282011A"/>
    <w:rsid w:val="738442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37</Pages>
  <Words>26467</Words>
  <Characters>28092</Characters>
  <TotalTime>21</TotalTime>
  <ScaleCrop>false</ScaleCrop>
  <LinksUpToDate>false</LinksUpToDate>
  <CharactersWithSpaces>29663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2026-06-11T06:18:00Z</dcterms:created>
  <dc:creator>Apache POI</dc:creator>
  <cp:lastModifiedBy>MillraTer</cp:lastModifiedBy>
  <dcterms:modified xsi:type="dcterms:W3CDTF">2026-06-11T09:23:58Z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{"Label":"1","ContentProducer":"001191110102MACQD9K64010000","ProduceID":"7650018504901856436","ReservedCode1":"","ContentPropagator":"","PropagateID":"","ReservedCode2":""}</vt:lpwstr>
  </property>
  <property fmtid="{D5CDD505-2E9C-101B-9397-08002B2CF9AE}" pid="3" name="KSOTemplateDocerSaveRecord">
    <vt:lpwstr>eyJoZGlkIjoiM2E5NjI2NWY3ODViZjdmOTgxNWQ0NTkxYTMwZmRlMWMiLCJ1c2VySWQiOiIyNzA0MDIwNjEifQ==</vt:lpwstr>
  </property>
  <property fmtid="{D5CDD505-2E9C-101B-9397-08002B2CF9AE}" pid="4" name="KSOProductBuildVer">
    <vt:lpwstr>2052-12.1.0.26375</vt:lpwstr>
  </property>
  <property fmtid="{D5CDD505-2E9C-101B-9397-08002B2CF9AE}" pid="5" name="ICV">
    <vt:lpwstr>E853993BA1F64917B6B473B7268C3D27_12</vt:lpwstr>
  </property>
</Properties>
</file>